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024797">
      <w:pPr>
        <w:ind w:firstLine="720"/>
        <w:rPr>
          <w:rFonts w:ascii="Arial" w:hAnsi="Arial" w:cs="Arial"/>
          <w:sz w:val="24"/>
          <w:szCs w:val="24"/>
        </w:rPr>
      </w:pPr>
      <w:r>
        <w:rPr>
          <w:rFonts w:ascii="Arial" w:hAnsi="Arial" w:cs="Arial"/>
          <w:b/>
          <w:bCs/>
          <w:sz w:val="52"/>
          <w:szCs w:val="52"/>
        </w:rPr>
        <mc:AlternateContent>
          <mc:Choice Requires="wps">
            <w:drawing>
              <wp:inline distT="0" distB="0" distL="0" distR="0">
                <wp:extent cx="5305425" cy="1216025"/>
                <wp:effectExtent l="0" t="0" r="28575" b="22225"/>
                <wp:docPr id="1" name="Text Box 1"/>
                <wp:cNvGraphicFramePr/>
                <a:graphic xmlns:a="http://schemas.openxmlformats.org/drawingml/2006/main">
                  <a:graphicData uri="http://schemas.microsoft.com/office/word/2010/wordprocessingShape">
                    <wps:wsp>
                      <wps:cNvSpPr txBox="1"/>
                      <wps:spPr>
                        <a:xfrm>
                          <a:off x="0" y="0"/>
                          <a:ext cx="5305425" cy="1216325"/>
                        </a:xfrm>
                        <a:prstGeom prst="rect">
                          <a:avLst/>
                        </a:prstGeom>
                        <a:solidFill>
                          <a:sysClr val="window" lastClr="FFFFFF"/>
                        </a:solidFill>
                        <a:ln w="6350">
                          <a:solidFill>
                            <a:prstClr val="black"/>
                          </a:solidFill>
                        </a:ln>
                      </wps:spPr>
                      <wps:txbx>
                        <w:txbxContent>
                          <w:p w14:paraId="4870386C">
                            <w:pPr>
                              <w:jc w:val="center"/>
                            </w:pPr>
                            <w:r>
                              <w:rPr>
                                <w:rFonts w:ascii="Calibri Light" w:hAnsi="Calibri Light" w:cs="Calibri Light"/>
                                <w:b/>
                              </w:rPr>
                              <w:drawing>
                                <wp:inline distT="0" distB="0" distL="114300" distR="114300">
                                  <wp:extent cx="1016635" cy="1016635"/>
                                  <wp:effectExtent l="0" t="0" r="0" b="1206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1016635" cy="101663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inline>
            </w:drawing>
          </mc:Choice>
          <mc:Fallback>
            <w:pict>
              <v:shape id="_x0000_s1026" o:spid="_x0000_s1026" o:spt="202" type="#_x0000_t202" style="height:95.75pt;width:417.75pt;" fillcolor="#FFFFFF" filled="t" stroked="t" coordsize="21600,21600" o:gfxdata="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MeuHd9MAAAAFAQAADwAAAAAA&#10;AAABACAAAAAiAAAAZHJzL2Rvd25yZXYueG1sUEsBAhQAFAAAAAgAh07iQMNP0cJRAgAAxwQAAA4A&#10;AAAAAAAAAQAgAAAAIgEAAGRycy9lMm9Eb2MueG1sUEsFBgAAAAAGAAYAWQEAAOUFAAAAAA==&#10;">
                <v:fill on="t" focussize="0,0"/>
                <v:stroke weight="0.5pt" color="#000000" joinstyle="round"/>
                <v:imagedata o:title=""/>
                <o:lock v:ext="edit" aspectratio="f"/>
                <v:textbox>
                  <w:txbxContent>
                    <w:p w14:paraId="4870386C">
                      <w:pPr>
                        <w:jc w:val="center"/>
                      </w:pPr>
                      <w:r>
                        <w:rPr>
                          <w:rFonts w:ascii="Calibri Light" w:hAnsi="Calibri Light" w:cs="Calibri Light"/>
                          <w:b/>
                        </w:rPr>
                        <w:drawing>
                          <wp:inline distT="0" distB="0" distL="114300" distR="114300">
                            <wp:extent cx="1016635" cy="1016635"/>
                            <wp:effectExtent l="0" t="0" r="0" b="1206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1016635" cy="1016635"/>
                                    </a:xfrm>
                                    <a:prstGeom prst="rect">
                                      <a:avLst/>
                                    </a:prstGeom>
                                    <a:noFill/>
                                    <a:ln>
                                      <a:noFill/>
                                    </a:ln>
                                  </pic:spPr>
                                </pic:pic>
                              </a:graphicData>
                            </a:graphic>
                          </wp:inline>
                        </w:drawing>
                      </w:r>
                    </w:p>
                  </w:txbxContent>
                </v:textbox>
                <w10:wrap type="none"/>
                <w10:anchorlock/>
              </v:shape>
            </w:pict>
          </mc:Fallback>
        </mc:AlternateContent>
      </w:r>
    </w:p>
    <w:p w14:paraId="5B84755C">
      <w:pPr>
        <w:ind w:firstLine="720"/>
        <w:rPr>
          <w:rFonts w:ascii="Arial" w:hAnsi="Arial" w:cs="Arial"/>
          <w:sz w:val="24"/>
          <w:szCs w:val="24"/>
        </w:rPr>
      </w:pPr>
    </w:p>
    <w:p w14:paraId="19813AC2">
      <w:pPr>
        <w:jc w:val="center"/>
        <w:rPr>
          <w:rFonts w:ascii="Arial" w:hAnsi="Arial" w:cs="Arial"/>
          <w:b/>
          <w:sz w:val="40"/>
          <w:szCs w:val="40"/>
        </w:rPr>
      </w:pPr>
      <w:r>
        <w:rPr>
          <w:rFonts w:ascii="Arial" w:hAnsi="Arial" w:cs="Arial"/>
          <w:b/>
          <w:sz w:val="40"/>
          <w:szCs w:val="40"/>
        </w:rPr>
        <w:t>Data Breach Policy</w:t>
      </w:r>
    </w:p>
    <w:p w14:paraId="08839FC1">
      <w:pPr>
        <w:spacing w:after="0" w:line="240" w:lineRule="auto"/>
        <w:rPr>
          <w:rFonts w:ascii="Arial" w:hAnsi="Arial" w:cs="Arial"/>
          <w:sz w:val="24"/>
          <w:szCs w:val="24"/>
        </w:rPr>
      </w:pPr>
      <w:r>
        <w:rPr>
          <w:rFonts w:ascii="Arial" w:hAnsi="Arial" w:cs="Arial"/>
          <w:sz w:val="24"/>
          <w:szCs w:val="24"/>
        </w:rPr>
        <w:t>Handling data breaches appropriately allows us to respond effectively when something has gone wrong. Capturing all types of data breaches, whether it is a confirmed breach, a potential breach or a ‘near-miss’, allows us to understand where our weaknesses are, how well our policies are working and what we should change about our policies to make them more effective. It allows us to meet our legal obligation to report breaches which may cause harm to individuals to the regulator.</w:t>
      </w:r>
    </w:p>
    <w:p w14:paraId="21DC6072">
      <w:pPr>
        <w:spacing w:after="0" w:line="240" w:lineRule="auto"/>
        <w:rPr>
          <w:rFonts w:ascii="Arial" w:hAnsi="Arial" w:cs="Arial"/>
          <w:sz w:val="24"/>
          <w:szCs w:val="24"/>
        </w:rPr>
      </w:pPr>
    </w:p>
    <w:p w14:paraId="0DB7E239">
      <w:pPr>
        <w:spacing w:after="0" w:line="240" w:lineRule="auto"/>
        <w:rPr>
          <w:rFonts w:ascii="Arial" w:hAnsi="Arial" w:cs="Arial"/>
          <w:sz w:val="24"/>
          <w:szCs w:val="24"/>
        </w:rPr>
      </w:pPr>
      <w:r>
        <w:rPr>
          <w:rFonts w:ascii="Arial" w:hAnsi="Arial" w:cs="Arial"/>
          <w:color w:val="000000" w:themeColor="text1"/>
          <w:sz w:val="24"/>
          <w:szCs w:val="24"/>
          <w14:textFill>
            <w14:solidFill>
              <w14:schemeClr w14:val="tx1"/>
            </w14:solidFill>
          </w14:textFill>
        </w:rPr>
        <w:t xml:space="preserve">This policy sets out the rules all staff, contractors and volunteers </w:t>
      </w:r>
      <w:r>
        <w:rPr>
          <w:rFonts w:ascii="Arial" w:hAnsi="Arial" w:cs="Arial"/>
          <w:b/>
          <w:bCs/>
          <w:color w:val="000000" w:themeColor="text1"/>
          <w:sz w:val="24"/>
          <w:szCs w:val="24"/>
          <w:u w:val="single"/>
          <w14:textFill>
            <w14:solidFill>
              <w14:schemeClr w14:val="tx1"/>
            </w14:solidFill>
          </w14:textFill>
        </w:rPr>
        <w:t>must</w:t>
      </w:r>
      <w:r>
        <w:rPr>
          <w:rFonts w:ascii="Arial" w:hAnsi="Arial" w:cs="Arial"/>
          <w:color w:val="000000" w:themeColor="text1"/>
          <w:sz w:val="24"/>
          <w:szCs w:val="24"/>
          <w14:textFill>
            <w14:solidFill>
              <w14:schemeClr w14:val="tx1"/>
            </w14:solidFill>
          </w14:textFill>
        </w:rPr>
        <w:t xml:space="preserve"> follow to effectively manage data breaches.</w:t>
      </w:r>
    </w:p>
    <w:p w14:paraId="626E4B98">
      <w:pPr>
        <w:pStyle w:val="12"/>
        <w:rPr>
          <w:rFonts w:ascii="Arial" w:hAnsi="Arial" w:cs="Arial"/>
          <w:sz w:val="24"/>
          <w:szCs w:val="24"/>
        </w:rPr>
      </w:pPr>
    </w:p>
    <w:p w14:paraId="2C3E31C3">
      <w:pPr>
        <w:pStyle w:val="12"/>
        <w:spacing w:after="240"/>
        <w:rPr>
          <w:rFonts w:ascii="Arial" w:hAnsi="Arial" w:cs="Arial"/>
          <w:b/>
          <w:sz w:val="24"/>
          <w:szCs w:val="24"/>
        </w:rPr>
      </w:pPr>
      <w:r>
        <w:rPr>
          <w:rFonts w:ascii="Arial" w:hAnsi="Arial" w:cs="Arial"/>
          <w:b/>
          <w:sz w:val="24"/>
          <w:szCs w:val="24"/>
        </w:rPr>
        <w:t>Policy rules:</w:t>
      </w:r>
    </w:p>
    <w:p w14:paraId="6F0CBAE2">
      <w:pPr>
        <w:pStyle w:val="11"/>
        <w:numPr>
          <w:ilvl w:val="0"/>
          <w:numId w:val="1"/>
        </w:numPr>
        <w:rPr>
          <w:rFonts w:ascii="Arial" w:hAnsi="Arial" w:cs="Arial"/>
          <w:sz w:val="24"/>
          <w:szCs w:val="24"/>
        </w:rPr>
      </w:pPr>
      <w:r>
        <w:rPr>
          <w:rFonts w:ascii="Arial" w:hAnsi="Arial" w:cs="Arial"/>
          <w:sz w:val="24"/>
          <w:szCs w:val="24"/>
        </w:rPr>
        <w:t xml:space="preserve">If you discover a data breach, you must immediately </w:t>
      </w:r>
      <w:r>
        <w:rPr>
          <w:rFonts w:ascii="Arial" w:hAnsi="Arial" w:cs="Arial"/>
          <w:b/>
          <w:sz w:val="24"/>
          <w:szCs w:val="24"/>
        </w:rPr>
        <w:t>report</w:t>
      </w:r>
      <w:r>
        <w:rPr>
          <w:rFonts w:ascii="Arial" w:hAnsi="Arial" w:cs="Arial"/>
          <w:sz w:val="24"/>
          <w:szCs w:val="24"/>
        </w:rPr>
        <w:t xml:space="preserve"> it to the Data Protection Lead</w:t>
      </w:r>
    </w:p>
    <w:p w14:paraId="566A6F2E">
      <w:pPr>
        <w:pStyle w:val="11"/>
        <w:numPr>
          <w:ilvl w:val="0"/>
          <w:numId w:val="1"/>
        </w:numPr>
        <w:rPr>
          <w:rFonts w:ascii="Arial" w:hAnsi="Arial" w:cs="Arial"/>
          <w:sz w:val="24"/>
          <w:szCs w:val="24"/>
        </w:rPr>
      </w:pPr>
      <w:r>
        <w:rPr>
          <w:rFonts w:ascii="Arial" w:hAnsi="Arial" w:cs="Arial"/>
          <w:sz w:val="24"/>
          <w:szCs w:val="24"/>
        </w:rPr>
        <w:t xml:space="preserve">When reporting the breach, you must </w:t>
      </w:r>
      <w:r>
        <w:rPr>
          <w:rFonts w:ascii="Arial" w:hAnsi="Arial" w:cs="Arial"/>
          <w:b/>
          <w:sz w:val="24"/>
          <w:szCs w:val="24"/>
        </w:rPr>
        <w:t>provide</w:t>
      </w:r>
      <w:r>
        <w:rPr>
          <w:rFonts w:ascii="Arial" w:hAnsi="Arial" w:cs="Arial"/>
          <w:sz w:val="24"/>
          <w:szCs w:val="24"/>
        </w:rPr>
        <w:t xml:space="preserve"> as much information as possible </w:t>
      </w:r>
    </w:p>
    <w:p w14:paraId="4C3813F2">
      <w:pPr>
        <w:pStyle w:val="11"/>
        <w:numPr>
          <w:ilvl w:val="0"/>
          <w:numId w:val="1"/>
        </w:numPr>
        <w:rPr>
          <w:rFonts w:ascii="Arial" w:hAnsi="Arial" w:cs="Arial"/>
          <w:sz w:val="24"/>
          <w:szCs w:val="24"/>
        </w:rPr>
      </w:pPr>
      <w:r>
        <w:rPr>
          <w:rFonts w:ascii="Arial" w:hAnsi="Arial" w:cs="Arial"/>
          <w:sz w:val="24"/>
          <w:szCs w:val="24"/>
        </w:rPr>
        <w:t xml:space="preserve">The Investigating Officer must </w:t>
      </w:r>
      <w:r>
        <w:rPr>
          <w:rFonts w:ascii="Arial" w:hAnsi="Arial" w:cs="Arial"/>
          <w:b/>
          <w:sz w:val="24"/>
          <w:szCs w:val="24"/>
        </w:rPr>
        <w:t>complete</w:t>
      </w:r>
      <w:r>
        <w:rPr>
          <w:rFonts w:ascii="Arial" w:hAnsi="Arial" w:cs="Arial"/>
          <w:sz w:val="24"/>
          <w:szCs w:val="24"/>
        </w:rPr>
        <w:t xml:space="preserve"> investigations and complete an outcome report which can be found in our Data Breach Procedure</w:t>
      </w:r>
    </w:p>
    <w:p w14:paraId="1E621BC2">
      <w:pPr>
        <w:pStyle w:val="11"/>
        <w:numPr>
          <w:ilvl w:val="0"/>
          <w:numId w:val="1"/>
        </w:numPr>
        <w:rPr>
          <w:rFonts w:ascii="Arial" w:hAnsi="Arial" w:cs="Arial"/>
          <w:sz w:val="24"/>
          <w:szCs w:val="24"/>
        </w:rPr>
      </w:pPr>
      <w:r>
        <w:rPr>
          <w:rFonts w:ascii="Arial" w:hAnsi="Arial" w:cs="Arial"/>
          <w:sz w:val="24"/>
          <w:szCs w:val="24"/>
        </w:rPr>
        <w:t>All staff</w:t>
      </w:r>
      <w:r>
        <w:rPr>
          <w:rFonts w:ascii="Arial" w:hAnsi="Arial" w:cs="Arial"/>
          <w:color w:val="FF0000"/>
          <w:sz w:val="24"/>
          <w:szCs w:val="24"/>
        </w:rPr>
        <w:t xml:space="preserve"> </w:t>
      </w:r>
      <w:r>
        <w:rPr>
          <w:rFonts w:ascii="Arial" w:hAnsi="Arial" w:cs="Arial"/>
          <w:sz w:val="24"/>
          <w:szCs w:val="24"/>
        </w:rPr>
        <w:t>must</w:t>
      </w:r>
      <w:r>
        <w:rPr>
          <w:rFonts w:ascii="Arial" w:hAnsi="Arial" w:cs="Arial"/>
        </w:rPr>
        <w:t xml:space="preserve"> </w:t>
      </w:r>
      <w:r>
        <w:rPr>
          <w:rFonts w:ascii="Arial" w:hAnsi="Arial" w:cs="Arial"/>
          <w:sz w:val="24"/>
          <w:szCs w:val="24"/>
        </w:rPr>
        <w:t>support investigations into breaches as required</w:t>
      </w:r>
    </w:p>
    <w:p w14:paraId="34CFAA15">
      <w:pPr>
        <w:pStyle w:val="11"/>
        <w:numPr>
          <w:ilvl w:val="0"/>
          <w:numId w:val="1"/>
        </w:numPr>
        <w:rPr>
          <w:rFonts w:ascii="Arial" w:hAnsi="Arial" w:cs="Arial"/>
          <w:sz w:val="24"/>
          <w:szCs w:val="24"/>
        </w:rPr>
      </w:pPr>
      <w:r>
        <w:rPr>
          <w:rFonts w:ascii="Arial" w:hAnsi="Arial" w:cs="Arial"/>
          <w:sz w:val="24"/>
          <w:szCs w:val="24"/>
        </w:rPr>
        <w:t xml:space="preserve">Maintain a full </w:t>
      </w:r>
      <w:r>
        <w:rPr>
          <w:rFonts w:ascii="Arial" w:hAnsi="Arial" w:cs="Arial"/>
          <w:b/>
          <w:sz w:val="24"/>
          <w:szCs w:val="24"/>
        </w:rPr>
        <w:t>record</w:t>
      </w:r>
      <w:r>
        <w:rPr>
          <w:rFonts w:ascii="Arial" w:hAnsi="Arial" w:cs="Arial"/>
          <w:sz w:val="24"/>
          <w:szCs w:val="24"/>
        </w:rPr>
        <w:t xml:space="preserve"> of each breach from reporting to closure </w:t>
      </w:r>
    </w:p>
    <w:p w14:paraId="1DBCC1D8">
      <w:pPr>
        <w:pStyle w:val="11"/>
        <w:numPr>
          <w:ilvl w:val="0"/>
          <w:numId w:val="1"/>
        </w:numPr>
        <w:rPr>
          <w:rFonts w:ascii="Arial" w:hAnsi="Arial" w:cs="Arial"/>
          <w:sz w:val="24"/>
          <w:szCs w:val="24"/>
        </w:rPr>
      </w:pPr>
      <w:r>
        <w:rPr>
          <w:rFonts w:ascii="Arial" w:hAnsi="Arial" w:cs="Arial"/>
          <w:sz w:val="24"/>
          <w:szCs w:val="24"/>
        </w:rPr>
        <w:t xml:space="preserve">The Headteacher/Senior Information Risk Owner (SIRO) must support the investigation of </w:t>
      </w:r>
      <w:r>
        <w:rPr>
          <w:rFonts w:ascii="Arial" w:hAnsi="Arial" w:cs="Arial"/>
          <w:b/>
          <w:sz w:val="24"/>
          <w:szCs w:val="24"/>
        </w:rPr>
        <w:t>major and critical</w:t>
      </w:r>
      <w:r>
        <w:rPr>
          <w:rFonts w:ascii="Arial" w:hAnsi="Arial" w:cs="Arial"/>
          <w:sz w:val="24"/>
          <w:szCs w:val="24"/>
        </w:rPr>
        <w:t xml:space="preserve"> breaches</w:t>
      </w:r>
    </w:p>
    <w:p w14:paraId="6D65499E">
      <w:pPr>
        <w:pStyle w:val="11"/>
        <w:numPr>
          <w:ilvl w:val="0"/>
          <w:numId w:val="1"/>
        </w:numPr>
        <w:rPr>
          <w:rFonts w:ascii="Arial" w:hAnsi="Arial" w:cs="Arial"/>
          <w:sz w:val="24"/>
          <w:szCs w:val="24"/>
        </w:rPr>
      </w:pPr>
      <w:r>
        <w:rPr>
          <w:rFonts w:ascii="Arial" w:hAnsi="Arial" w:cs="Arial"/>
          <w:sz w:val="24"/>
          <w:szCs w:val="24"/>
        </w:rPr>
        <w:t>Comply with the timescales and escalation process outlined in our Data Breach Procedure</w:t>
      </w:r>
    </w:p>
    <w:p w14:paraId="61C61D8B">
      <w:pPr>
        <w:pStyle w:val="11"/>
        <w:numPr>
          <w:ilvl w:val="0"/>
          <w:numId w:val="1"/>
        </w:numPr>
        <w:spacing w:after="0"/>
        <w:rPr>
          <w:rFonts w:ascii="Arial" w:hAnsi="Arial" w:cs="Arial"/>
          <w:sz w:val="24"/>
          <w:szCs w:val="24"/>
        </w:rPr>
      </w:pPr>
      <w:r>
        <w:rPr>
          <w:rFonts w:ascii="Arial" w:hAnsi="Arial" w:cs="Arial"/>
          <w:sz w:val="24"/>
          <w:szCs w:val="24"/>
        </w:rPr>
        <w:t>Major and critical breaches must be referred to the Data Protection Officer.</w:t>
      </w:r>
    </w:p>
    <w:p w14:paraId="0868541C">
      <w:pPr>
        <w:pStyle w:val="12"/>
        <w:ind w:left="720"/>
        <w:rPr>
          <w:rFonts w:ascii="Arial" w:hAnsi="Arial" w:cs="Arial"/>
          <w:sz w:val="24"/>
          <w:szCs w:val="24"/>
        </w:rPr>
      </w:pPr>
      <w:r>
        <w:rPr>
          <w:rFonts w:ascii="Arial" w:hAnsi="Arial" w:cs="Arial"/>
          <w:sz w:val="24"/>
          <w:szCs w:val="24"/>
        </w:rPr>
        <w:t xml:space="preserve"> </w:t>
      </w:r>
    </w:p>
    <w:p w14:paraId="34214DFF">
      <w:pPr>
        <w:pStyle w:val="2"/>
        <w:spacing w:before="0"/>
        <w:rPr>
          <w:rFonts w:ascii="Arial" w:hAnsi="Arial" w:cs="Arial"/>
          <w:b/>
          <w:bCs/>
          <w:color w:val="000000" w:themeColor="text1"/>
          <w:sz w:val="28"/>
          <w:szCs w:val="28"/>
          <w14:textFill>
            <w14:solidFill>
              <w14:schemeClr w14:val="tx1"/>
            </w14:solidFill>
          </w14:textFill>
        </w:rPr>
      </w:pPr>
      <w:r>
        <w:rPr>
          <w:rFonts w:ascii="Arial" w:hAnsi="Arial" w:cs="Arial"/>
          <w:b/>
          <w:bCs/>
          <w:color w:val="000000" w:themeColor="text1"/>
          <w:sz w:val="28"/>
          <w:szCs w:val="28"/>
          <w14:textFill>
            <w14:solidFill>
              <w14:schemeClr w14:val="tx1"/>
            </w14:solidFill>
          </w14:textFill>
        </w:rPr>
        <w:t>How must I comply with these policy rules?</w:t>
      </w:r>
    </w:p>
    <w:p w14:paraId="7CB9EC40">
      <w:pPr>
        <w:pStyle w:val="12"/>
        <w:rPr>
          <w:rFonts w:ascii="Arial" w:hAnsi="Arial" w:cs="Arial"/>
          <w:sz w:val="12"/>
          <w:szCs w:val="12"/>
        </w:rPr>
      </w:pPr>
    </w:p>
    <w:p w14:paraId="33EBB124">
      <w:pPr>
        <w:contextualSpacing/>
        <w:rPr>
          <w:rFonts w:ascii="Arial" w:hAnsi="Arial" w:cs="Arial"/>
          <w:sz w:val="24"/>
          <w:szCs w:val="24"/>
        </w:rPr>
      </w:pPr>
      <w:r>
        <w:rPr>
          <w:rFonts w:ascii="Arial" w:hAnsi="Arial" w:cs="Arial"/>
          <w:sz w:val="24"/>
          <w:szCs w:val="24"/>
        </w:rPr>
        <w:t>Our Data Breach Procedure tells you how to comply with these rules. If you are unsure how to comply you must seek advice and guidance from your Data Protection Lead.</w:t>
      </w:r>
    </w:p>
    <w:p w14:paraId="79BA04A7">
      <w:pPr>
        <w:pStyle w:val="2"/>
        <w:rPr>
          <w:rFonts w:ascii="Arial" w:hAnsi="Arial" w:cs="Arial"/>
          <w:b/>
          <w:bCs/>
          <w:color w:val="000000" w:themeColor="text1"/>
          <w:sz w:val="28"/>
          <w:szCs w:val="28"/>
          <w14:textFill>
            <w14:solidFill>
              <w14:schemeClr w14:val="tx1"/>
            </w14:solidFill>
          </w14:textFill>
        </w:rPr>
      </w:pPr>
      <w:r>
        <w:rPr>
          <w:rFonts w:ascii="Arial" w:hAnsi="Arial" w:cs="Arial"/>
          <w:b/>
          <w:bCs/>
          <w:color w:val="000000" w:themeColor="text1"/>
          <w:sz w:val="28"/>
          <w:szCs w:val="28"/>
          <w14:textFill>
            <w14:solidFill>
              <w14:schemeClr w14:val="tx1"/>
            </w14:solidFill>
          </w14:textFill>
        </w:rPr>
        <w:t>What if I need to do something against this policy?</w:t>
      </w:r>
    </w:p>
    <w:p w14:paraId="41FD4415">
      <w:pPr>
        <w:pStyle w:val="12"/>
        <w:rPr>
          <w:sz w:val="12"/>
          <w:szCs w:val="12"/>
        </w:rPr>
      </w:pPr>
    </w:p>
    <w:p w14:paraId="2C29A874">
      <w:pPr>
        <w:pStyle w:val="11"/>
        <w:ind w:left="0"/>
        <w:rPr>
          <w:rFonts w:ascii="Arial" w:hAnsi="Arial" w:cs="Arial"/>
          <w:sz w:val="24"/>
          <w:szCs w:val="24"/>
        </w:rPr>
      </w:pPr>
      <w:r>
        <w:rPr>
          <w:rFonts w:ascii="Arial" w:hAnsi="Arial" w:cs="Arial"/>
          <w:sz w:val="24"/>
          <w:szCs w:val="24"/>
        </w:rPr>
        <w:t>If you believe you have a valid business reason for an exception to these policy points, having read and understood the reasons why they are in place, please raise a formal request by contacting the school office.</w:t>
      </w:r>
    </w:p>
    <w:p w14:paraId="303A6BE2">
      <w:pPr>
        <w:pStyle w:val="2"/>
        <w:rPr>
          <w:rFonts w:ascii="Arial" w:hAnsi="Arial" w:cs="Arial"/>
          <w:b/>
          <w:bCs/>
          <w:color w:val="000000" w:themeColor="text1"/>
          <w:sz w:val="28"/>
          <w:szCs w:val="28"/>
          <w14:textFill>
            <w14:solidFill>
              <w14:schemeClr w14:val="tx1"/>
            </w14:solidFill>
          </w14:textFill>
        </w:rPr>
      </w:pPr>
      <w:r>
        <w:rPr>
          <w:rFonts w:ascii="Arial" w:hAnsi="Arial" w:cs="Arial"/>
          <w:b/>
          <w:bCs/>
          <w:color w:val="000000" w:themeColor="text1"/>
          <w:sz w:val="28"/>
          <w:szCs w:val="28"/>
          <w14:textFill>
            <w14:solidFill>
              <w14:schemeClr w14:val="tx1"/>
            </w14:solidFill>
          </w14:textFill>
        </w:rPr>
        <w:t>References</w:t>
      </w:r>
    </w:p>
    <w:p w14:paraId="3331B33F">
      <w:pPr>
        <w:spacing w:after="0" w:line="240" w:lineRule="auto"/>
        <w:rPr>
          <w:sz w:val="12"/>
          <w:szCs w:val="12"/>
        </w:rPr>
      </w:pPr>
    </w:p>
    <w:p w14:paraId="5BD72AD9">
      <w:pPr>
        <w:pStyle w:val="11"/>
        <w:numPr>
          <w:ilvl w:val="0"/>
          <w:numId w:val="2"/>
        </w:numPr>
        <w:rPr>
          <w:rFonts w:ascii="Arial" w:hAnsi="Arial" w:cs="Arial"/>
          <w:sz w:val="24"/>
          <w:szCs w:val="24"/>
        </w:rPr>
      </w:pPr>
      <w:r>
        <w:rPr>
          <w:rFonts w:ascii="Arial" w:hAnsi="Arial" w:cs="Arial"/>
          <w:sz w:val="24"/>
          <w:szCs w:val="24"/>
        </w:rPr>
        <w:t>Data Protection Act 2018 / UK GDPR</w:t>
      </w:r>
    </w:p>
    <w:p w14:paraId="62D4A451">
      <w:pPr>
        <w:pStyle w:val="2"/>
        <w:rPr>
          <w:rFonts w:ascii="Arial" w:hAnsi="Arial" w:cs="Arial"/>
          <w:b/>
          <w:bCs/>
          <w:color w:val="000000" w:themeColor="text1"/>
          <w:sz w:val="28"/>
          <w:szCs w:val="28"/>
          <w14:textFill>
            <w14:solidFill>
              <w14:schemeClr w14:val="tx1"/>
            </w14:solidFill>
          </w14:textFill>
        </w:rPr>
      </w:pPr>
      <w:r>
        <w:rPr>
          <w:rFonts w:ascii="Arial" w:hAnsi="Arial" w:cs="Arial"/>
          <w:b/>
          <w:bCs/>
          <w:color w:val="000000" w:themeColor="text1"/>
          <w:sz w:val="28"/>
          <w:szCs w:val="28"/>
          <w14:textFill>
            <w14:solidFill>
              <w14:schemeClr w14:val="tx1"/>
            </w14:solidFill>
          </w14:textFill>
        </w:rPr>
        <w:t>Breach Statement</w:t>
      </w:r>
    </w:p>
    <w:p w14:paraId="64017674">
      <w:pPr>
        <w:spacing w:after="0" w:line="240" w:lineRule="auto"/>
        <w:rPr>
          <w:sz w:val="12"/>
          <w:szCs w:val="12"/>
        </w:rPr>
      </w:pPr>
    </w:p>
    <w:p w14:paraId="12B1A243">
      <w:pPr>
        <w:rPr>
          <w:rFonts w:ascii="Arial" w:hAnsi="Arial" w:cs="Arial"/>
          <w:sz w:val="24"/>
          <w:szCs w:val="24"/>
        </w:rPr>
      </w:pPr>
      <w:r>
        <w:rPr>
          <w:rFonts w:ascii="Arial" w:hAnsi="Arial" w:cs="Arial"/>
          <w:sz w:val="24"/>
          <w:szCs w:val="24"/>
        </w:rPr>
        <w:t>Breaches of Information Policies will be investigated and may result in disciplinary action. Serious breaches of Policy may be considered gross misconduct and result in dismissal without notice, or legal action being taken against you.</w:t>
      </w:r>
    </w:p>
    <w:p w14:paraId="6B327434">
      <w:pPr>
        <w:pStyle w:val="2"/>
        <w:rPr>
          <w:rFonts w:ascii="Arial" w:hAnsi="Arial" w:cs="Arial"/>
          <w:b/>
          <w:bCs/>
          <w:color w:val="000000" w:themeColor="text1"/>
          <w:sz w:val="28"/>
          <w:szCs w:val="28"/>
          <w14:textFill>
            <w14:solidFill>
              <w14:schemeClr w14:val="tx1"/>
            </w14:solidFill>
          </w14:textFill>
        </w:rPr>
      </w:pPr>
      <w:r>
        <w:rPr>
          <w:rFonts w:ascii="Arial" w:hAnsi="Arial" w:cs="Arial"/>
          <w:b/>
          <w:bCs/>
          <w:color w:val="000000" w:themeColor="text1"/>
          <w:sz w:val="28"/>
          <w:szCs w:val="28"/>
          <w14:textFill>
            <w14:solidFill>
              <w14:schemeClr w14:val="tx1"/>
            </w14:solidFill>
          </w14:textFill>
        </w:rPr>
        <w:t>Document Control</w:t>
      </w:r>
    </w:p>
    <w:p w14:paraId="09A0D386">
      <w:pPr>
        <w:pStyle w:val="12"/>
        <w:rPr>
          <w:sz w:val="12"/>
          <w:szCs w:val="12"/>
        </w:rPr>
      </w:pPr>
    </w:p>
    <w:p w14:paraId="79DF6D0E">
      <w:pPr>
        <w:spacing w:line="240" w:lineRule="auto"/>
        <w:rPr>
          <w:rFonts w:ascii="Arial" w:hAnsi="Arial" w:cs="Arial"/>
          <w:sz w:val="24"/>
          <w:szCs w:val="24"/>
        </w:rPr>
      </w:pPr>
      <w:r>
        <w:rPr>
          <w:rFonts w:ascii="Arial" w:hAnsi="Arial" w:cs="Arial"/>
          <w:sz w:val="24"/>
          <w:szCs w:val="24"/>
        </w:rPr>
        <w:t xml:space="preserve">Version: </w:t>
      </w:r>
      <w:r>
        <w:rPr>
          <w:rFonts w:ascii="Arial" w:hAnsi="Arial" w:cs="Arial"/>
          <w:sz w:val="24"/>
          <w:szCs w:val="24"/>
        </w:rPr>
        <w:tab/>
      </w:r>
      <w:r>
        <w:rPr>
          <w:rFonts w:ascii="Arial" w:hAnsi="Arial" w:cs="Arial"/>
          <w:sz w:val="24"/>
          <w:szCs w:val="24"/>
        </w:rPr>
        <w:tab/>
      </w:r>
      <w:r>
        <w:rPr>
          <w:rFonts w:ascii="Arial" w:hAnsi="Arial" w:cs="Arial"/>
          <w:sz w:val="24"/>
          <w:szCs w:val="24"/>
        </w:rPr>
        <w:t>2024</w:t>
      </w:r>
    </w:p>
    <w:p w14:paraId="0B67A6D4">
      <w:pPr>
        <w:spacing w:line="240" w:lineRule="auto"/>
        <w:rPr>
          <w:rFonts w:hint="default" w:ascii="Arial" w:hAnsi="Arial" w:cs="Arial"/>
          <w:sz w:val="24"/>
          <w:szCs w:val="24"/>
          <w:lang w:val="en-GB"/>
        </w:rPr>
      </w:pPr>
      <w:r>
        <w:rPr>
          <w:rFonts w:ascii="Arial" w:hAnsi="Arial" w:cs="Arial"/>
          <w:sz w:val="24"/>
          <w:szCs w:val="24"/>
        </w:rPr>
        <w:t xml:space="preserve">Date approved: </w:t>
      </w:r>
      <w:r>
        <w:rPr>
          <w:rFonts w:ascii="Arial" w:hAnsi="Arial" w:cs="Arial"/>
          <w:sz w:val="24"/>
          <w:szCs w:val="24"/>
        </w:rPr>
        <w:tab/>
      </w:r>
      <w:r>
        <w:rPr>
          <w:rFonts w:hint="default" w:ascii="Arial" w:hAnsi="Arial" w:cs="Arial"/>
          <w:sz w:val="24"/>
          <w:szCs w:val="24"/>
          <w:lang w:val="en-GB"/>
        </w:rPr>
        <w:t>11/07/25</w:t>
      </w:r>
    </w:p>
    <w:p w14:paraId="2277C67E">
      <w:pPr>
        <w:spacing w:line="240" w:lineRule="auto"/>
        <w:rPr>
          <w:rFonts w:hint="default" w:ascii="Arial" w:hAnsi="Arial" w:cs="Arial"/>
          <w:sz w:val="24"/>
          <w:szCs w:val="24"/>
          <w:lang w:val="en-GB"/>
        </w:rPr>
      </w:pPr>
      <w:r>
        <w:rPr>
          <w:rFonts w:ascii="Arial" w:hAnsi="Arial" w:cs="Arial"/>
          <w:sz w:val="24"/>
          <w:szCs w:val="24"/>
        </w:rPr>
        <w:t>Approved by:</w:t>
      </w:r>
      <w:r>
        <w:rPr>
          <w:rFonts w:ascii="Arial" w:hAnsi="Arial" w:cs="Arial"/>
          <w:sz w:val="24"/>
          <w:szCs w:val="24"/>
        </w:rPr>
        <w:tab/>
      </w:r>
      <w:r>
        <w:rPr>
          <w:rFonts w:ascii="Arial" w:hAnsi="Arial" w:cs="Arial"/>
          <w:sz w:val="24"/>
          <w:szCs w:val="24"/>
        </w:rPr>
        <w:tab/>
      </w:r>
      <w:r>
        <w:rPr>
          <w:rFonts w:hint="default" w:ascii="Arial" w:hAnsi="Arial" w:cs="Arial"/>
          <w:sz w:val="24"/>
          <w:szCs w:val="24"/>
          <w:lang w:val="en-GB"/>
        </w:rPr>
        <w:t>FGB</w:t>
      </w:r>
    </w:p>
    <w:p w14:paraId="6806A171">
      <w:pPr>
        <w:spacing w:line="240" w:lineRule="auto"/>
        <w:rPr>
          <w:rFonts w:hint="default" w:ascii="Arial" w:hAnsi="Arial" w:cs="Arial"/>
          <w:sz w:val="24"/>
          <w:szCs w:val="24"/>
          <w:lang w:val="en-GB"/>
        </w:rPr>
      </w:pPr>
      <w:r>
        <w:rPr>
          <w:rFonts w:ascii="Arial" w:hAnsi="Arial" w:cs="Arial"/>
          <w:sz w:val="24"/>
          <w:szCs w:val="24"/>
        </w:rPr>
        <w:t xml:space="preserve">Next review: </w:t>
      </w:r>
      <w:r>
        <w:rPr>
          <w:rFonts w:ascii="Arial" w:hAnsi="Arial" w:cs="Arial"/>
          <w:sz w:val="24"/>
          <w:szCs w:val="24"/>
        </w:rPr>
        <w:tab/>
      </w:r>
      <w:r>
        <w:rPr>
          <w:rFonts w:ascii="Arial" w:hAnsi="Arial" w:cs="Arial"/>
          <w:sz w:val="24"/>
          <w:szCs w:val="24"/>
        </w:rPr>
        <w:tab/>
      </w:r>
      <w:r>
        <w:rPr>
          <w:rFonts w:hint="default" w:ascii="Arial" w:hAnsi="Arial" w:cs="Arial"/>
          <w:sz w:val="24"/>
          <w:szCs w:val="24"/>
          <w:lang w:val="en-GB"/>
        </w:rPr>
        <w:t>11/07/25 - Review annually</w:t>
      </w:r>
      <w:bookmarkStart w:id="0" w:name="_GoBack"/>
      <w:bookmarkEnd w:id="0"/>
    </w:p>
    <w:p w14:paraId="26F27103">
      <w:pPr>
        <w:rPr>
          <w:rFonts w:ascii="Arial" w:hAnsi="Arial" w:cs="Arial"/>
        </w:rPr>
      </w:pPr>
    </w:p>
    <w:sectPr>
      <w:footerReference r:id="rId5" w:type="default"/>
      <w:pgSz w:w="11906" w:h="16838"/>
      <w:pgMar w:top="1134" w:right="851" w:bottom="1077" w:left="1134" w:header="709" w:footer="57"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Calibri Light">
    <w:panose1 w:val="020F03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621CCC">
    <w:pPr>
      <w:pStyle w:val="6"/>
    </w:pPr>
    <w:r>
      <w:t>C7-2024</w:t>
    </w:r>
    <w:r>
      <w:tab/>
    </w:r>
    <w:sdt>
      <w:sdtPr>
        <w:id w:val="1842040485"/>
        <w:docPartObj>
          <w:docPartGallery w:val="AutoText"/>
        </w:docPartObj>
      </w:sdtPr>
      <w:sdtContent>
        <w:r>
          <w:tab/>
        </w:r>
        <w:r>
          <w:fldChar w:fldCharType="begin"/>
        </w:r>
        <w:r>
          <w:instrText xml:space="preserve"> PAGE   \* MERGEFORMAT </w:instrText>
        </w:r>
        <w:r>
          <w:fldChar w:fldCharType="separate"/>
        </w:r>
        <w:r>
          <w:t>1</w:t>
        </w:r>
        <w:r>
          <w:fldChar w:fldCharType="end"/>
        </w:r>
        <w:r>
          <w:t xml:space="preserve">                                              © Essex County Council</w:t>
        </w:r>
      </w:sdtContent>
    </w:sdt>
  </w:p>
  <w:p w14:paraId="552825D5">
    <w:pPr>
      <w:pStyle w:val="6"/>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072413"/>
    <w:multiLevelType w:val="multilevel"/>
    <w:tmpl w:val="3F07241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40B11672"/>
    <w:multiLevelType w:val="multilevel"/>
    <w:tmpl w:val="40B11672"/>
    <w:lvl w:ilvl="0" w:tentative="0">
      <w:start w:val="1"/>
      <w:numFmt w:val="decimal"/>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71F4"/>
    <w:rsid w:val="000015AA"/>
    <w:rsid w:val="000514AC"/>
    <w:rsid w:val="00066596"/>
    <w:rsid w:val="00080A6E"/>
    <w:rsid w:val="000B2D9C"/>
    <w:rsid w:val="000D006E"/>
    <w:rsid w:val="000D07EB"/>
    <w:rsid w:val="00117D30"/>
    <w:rsid w:val="00150E52"/>
    <w:rsid w:val="001F191E"/>
    <w:rsid w:val="002171F4"/>
    <w:rsid w:val="00217542"/>
    <w:rsid w:val="0022778A"/>
    <w:rsid w:val="002906B2"/>
    <w:rsid w:val="002937A6"/>
    <w:rsid w:val="002A145E"/>
    <w:rsid w:val="002A58DA"/>
    <w:rsid w:val="002B1562"/>
    <w:rsid w:val="003470A3"/>
    <w:rsid w:val="00381FA9"/>
    <w:rsid w:val="003A2298"/>
    <w:rsid w:val="003C5BF2"/>
    <w:rsid w:val="003D3476"/>
    <w:rsid w:val="003E4767"/>
    <w:rsid w:val="004023F8"/>
    <w:rsid w:val="00404E1A"/>
    <w:rsid w:val="004100A4"/>
    <w:rsid w:val="00410D56"/>
    <w:rsid w:val="00416362"/>
    <w:rsid w:val="00416FE7"/>
    <w:rsid w:val="0046415E"/>
    <w:rsid w:val="00474D0B"/>
    <w:rsid w:val="00481DB1"/>
    <w:rsid w:val="004B121E"/>
    <w:rsid w:val="004C2158"/>
    <w:rsid w:val="004D5CAE"/>
    <w:rsid w:val="004E3240"/>
    <w:rsid w:val="00512E07"/>
    <w:rsid w:val="00550BBC"/>
    <w:rsid w:val="00552A9E"/>
    <w:rsid w:val="00596C71"/>
    <w:rsid w:val="005B1950"/>
    <w:rsid w:val="005B57F1"/>
    <w:rsid w:val="005C048D"/>
    <w:rsid w:val="00625DD3"/>
    <w:rsid w:val="006353EF"/>
    <w:rsid w:val="00675507"/>
    <w:rsid w:val="00684196"/>
    <w:rsid w:val="006A355B"/>
    <w:rsid w:val="006F3441"/>
    <w:rsid w:val="00707A42"/>
    <w:rsid w:val="007138B3"/>
    <w:rsid w:val="00744699"/>
    <w:rsid w:val="00745F7D"/>
    <w:rsid w:val="00751E14"/>
    <w:rsid w:val="00766B88"/>
    <w:rsid w:val="00781BD6"/>
    <w:rsid w:val="00786F50"/>
    <w:rsid w:val="0079242B"/>
    <w:rsid w:val="00792BAE"/>
    <w:rsid w:val="007A2496"/>
    <w:rsid w:val="00857471"/>
    <w:rsid w:val="00860AD1"/>
    <w:rsid w:val="00864A76"/>
    <w:rsid w:val="00886230"/>
    <w:rsid w:val="008A0106"/>
    <w:rsid w:val="008A3560"/>
    <w:rsid w:val="00906CD8"/>
    <w:rsid w:val="009125BF"/>
    <w:rsid w:val="0094248B"/>
    <w:rsid w:val="00953ABF"/>
    <w:rsid w:val="00954294"/>
    <w:rsid w:val="00965153"/>
    <w:rsid w:val="009C4C0B"/>
    <w:rsid w:val="009E3704"/>
    <w:rsid w:val="009E719F"/>
    <w:rsid w:val="00A56DAC"/>
    <w:rsid w:val="00A643A0"/>
    <w:rsid w:val="00A6563C"/>
    <w:rsid w:val="00AD18BC"/>
    <w:rsid w:val="00AD2EA4"/>
    <w:rsid w:val="00AE4998"/>
    <w:rsid w:val="00AE611B"/>
    <w:rsid w:val="00B01AC8"/>
    <w:rsid w:val="00B13DE2"/>
    <w:rsid w:val="00B2585E"/>
    <w:rsid w:val="00B34676"/>
    <w:rsid w:val="00B446F6"/>
    <w:rsid w:val="00B468F1"/>
    <w:rsid w:val="00B47852"/>
    <w:rsid w:val="00B61746"/>
    <w:rsid w:val="00B654DE"/>
    <w:rsid w:val="00B74520"/>
    <w:rsid w:val="00B90DC8"/>
    <w:rsid w:val="00B917F6"/>
    <w:rsid w:val="00C03DE5"/>
    <w:rsid w:val="00C224D9"/>
    <w:rsid w:val="00C67AF2"/>
    <w:rsid w:val="00C92FFB"/>
    <w:rsid w:val="00CB048F"/>
    <w:rsid w:val="00CF5A08"/>
    <w:rsid w:val="00D206D1"/>
    <w:rsid w:val="00D34724"/>
    <w:rsid w:val="00D440E1"/>
    <w:rsid w:val="00D46FC4"/>
    <w:rsid w:val="00D7178C"/>
    <w:rsid w:val="00D7428B"/>
    <w:rsid w:val="00DA0A98"/>
    <w:rsid w:val="00DB5CE7"/>
    <w:rsid w:val="00DD5919"/>
    <w:rsid w:val="00E0508F"/>
    <w:rsid w:val="00E3203E"/>
    <w:rsid w:val="00E510F0"/>
    <w:rsid w:val="00E66176"/>
    <w:rsid w:val="00EC04A7"/>
    <w:rsid w:val="00EF2C20"/>
    <w:rsid w:val="00F1732E"/>
    <w:rsid w:val="00F55638"/>
    <w:rsid w:val="00FA502B"/>
    <w:rsid w:val="00FC6952"/>
    <w:rsid w:val="00FC75C9"/>
    <w:rsid w:val="72A2482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GB" w:eastAsia="en-US" w:bidi="ar-SA"/>
    </w:rPr>
  </w:style>
  <w:style w:type="paragraph" w:styleId="2">
    <w:name w:val="heading 2"/>
    <w:basedOn w:val="1"/>
    <w:next w:val="1"/>
    <w:link w:val="15"/>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character" w:default="1" w:styleId="3">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5">
    <w:name w:val="Balloon Text"/>
    <w:basedOn w:val="1"/>
    <w:link w:val="10"/>
    <w:semiHidden/>
    <w:unhideWhenUsed/>
    <w:qFormat/>
    <w:uiPriority w:val="99"/>
    <w:pPr>
      <w:spacing w:after="0" w:line="240" w:lineRule="auto"/>
    </w:pPr>
    <w:rPr>
      <w:rFonts w:ascii="Tahoma" w:hAnsi="Tahoma" w:cs="Tahoma"/>
      <w:sz w:val="16"/>
      <w:szCs w:val="16"/>
    </w:rPr>
  </w:style>
  <w:style w:type="paragraph" w:styleId="6">
    <w:name w:val="footer"/>
    <w:basedOn w:val="1"/>
    <w:link w:val="14"/>
    <w:unhideWhenUsed/>
    <w:qFormat/>
    <w:uiPriority w:val="99"/>
    <w:pPr>
      <w:tabs>
        <w:tab w:val="center" w:pos="4513"/>
        <w:tab w:val="right" w:pos="9026"/>
      </w:tabs>
      <w:spacing w:after="0" w:line="240" w:lineRule="auto"/>
    </w:pPr>
  </w:style>
  <w:style w:type="paragraph" w:styleId="7">
    <w:name w:val="header"/>
    <w:basedOn w:val="1"/>
    <w:link w:val="13"/>
    <w:unhideWhenUsed/>
    <w:qFormat/>
    <w:uiPriority w:val="99"/>
    <w:pPr>
      <w:tabs>
        <w:tab w:val="center" w:pos="4513"/>
        <w:tab w:val="right" w:pos="9026"/>
      </w:tabs>
      <w:spacing w:after="0" w:line="240" w:lineRule="auto"/>
    </w:pPr>
  </w:style>
  <w:style w:type="character" w:styleId="8">
    <w:name w:val="Hyperlink"/>
    <w:basedOn w:val="3"/>
    <w:unhideWhenUsed/>
    <w:qFormat/>
    <w:uiPriority w:val="99"/>
    <w:rPr>
      <w:color w:val="0000FF" w:themeColor="hyperlink"/>
      <w:u w:val="single"/>
      <w14:textFill>
        <w14:solidFill>
          <w14:schemeClr w14:val="hlink"/>
        </w14:solidFill>
      </w14:textFill>
    </w:rPr>
  </w:style>
  <w:style w:type="table" w:styleId="9">
    <w:name w:val="Table Grid"/>
    <w:basedOn w:val="4"/>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Balloon Text Char"/>
    <w:basedOn w:val="3"/>
    <w:link w:val="5"/>
    <w:semiHidden/>
    <w:qFormat/>
    <w:uiPriority w:val="99"/>
    <w:rPr>
      <w:rFonts w:ascii="Tahoma" w:hAnsi="Tahoma" w:cs="Tahoma"/>
      <w:sz w:val="16"/>
      <w:szCs w:val="16"/>
    </w:rPr>
  </w:style>
  <w:style w:type="paragraph" w:styleId="11">
    <w:name w:val="List Paragraph"/>
    <w:basedOn w:val="1"/>
    <w:qFormat/>
    <w:uiPriority w:val="34"/>
    <w:pPr>
      <w:ind w:left="720"/>
      <w:contextualSpacing/>
    </w:pPr>
  </w:style>
  <w:style w:type="paragraph" w:styleId="12">
    <w:name w:val="No Spacing"/>
    <w:qFormat/>
    <w:uiPriority w:val="1"/>
    <w:pPr>
      <w:spacing w:after="0" w:line="240" w:lineRule="auto"/>
    </w:pPr>
    <w:rPr>
      <w:rFonts w:asciiTheme="minorHAnsi" w:hAnsiTheme="minorHAnsi" w:eastAsiaTheme="minorHAnsi" w:cstheme="minorBidi"/>
      <w:sz w:val="22"/>
      <w:szCs w:val="22"/>
      <w:lang w:val="en-GB" w:eastAsia="en-US" w:bidi="ar-SA"/>
    </w:rPr>
  </w:style>
  <w:style w:type="character" w:customStyle="1" w:styleId="13">
    <w:name w:val="Header Char"/>
    <w:basedOn w:val="3"/>
    <w:link w:val="7"/>
    <w:qFormat/>
    <w:uiPriority w:val="99"/>
  </w:style>
  <w:style w:type="character" w:customStyle="1" w:styleId="14">
    <w:name w:val="Footer Char"/>
    <w:basedOn w:val="3"/>
    <w:link w:val="6"/>
    <w:qFormat/>
    <w:uiPriority w:val="99"/>
  </w:style>
  <w:style w:type="character" w:customStyle="1" w:styleId="15">
    <w:name w:val="Heading 2 Char"/>
    <w:basedOn w:val="3"/>
    <w:link w:val="2"/>
    <w:qFormat/>
    <w:uiPriority w:val="9"/>
    <w:rPr>
      <w:rFonts w:asciiTheme="majorHAnsi" w:hAnsiTheme="majorHAnsi" w:eastAsiaTheme="majorEastAsia" w:cstheme="majorBidi"/>
      <w:color w:val="376092" w:themeColor="accent1" w:themeShade="BF"/>
      <w:sz w:val="26"/>
      <w:szCs w:val="26"/>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4.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7275096BE6E44408CE6078F0132A776" ma:contentTypeVersion="4" ma:contentTypeDescription="Create a new document." ma:contentTypeScope="" ma:versionID="c3d97759417e509fd8b5b016824df62f">
  <xsd:schema xmlns:xsd="http://www.w3.org/2001/XMLSchema" xmlns:xs="http://www.w3.org/2001/XMLSchema" xmlns:p="http://schemas.microsoft.com/office/2006/metadata/properties" xmlns:ns2="d78cc8c2-4ed3-482e-9b2a-b9f87ab3f3df" targetNamespace="http://schemas.microsoft.com/office/2006/metadata/properties" ma:root="true" ma:fieldsID="15ac1768719477efe49f923ac7c43d40" ns2:_="">
    <xsd:import namespace="d78cc8c2-4ed3-482e-9b2a-b9f87ab3f3d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8cc8c2-4ed3-482e-9b2a-b9f87ab3f3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FB29923-9667-44AB-87C1-E03D3A6ED1F6}">
  <ds:schemaRefs/>
</ds:datastoreItem>
</file>

<file path=customXml/itemProps3.xml><?xml version="1.0" encoding="utf-8"?>
<ds:datastoreItem xmlns:ds="http://schemas.openxmlformats.org/officeDocument/2006/customXml" ds:itemID="{4DABD8D7-6DE6-45DC-A7D2-B830C9672CEC}">
  <ds:schemaRefs/>
</ds:datastoreItem>
</file>

<file path=customXml/itemProps4.xml><?xml version="1.0" encoding="utf-8"?>
<ds:datastoreItem xmlns:ds="http://schemas.openxmlformats.org/officeDocument/2006/customXml" ds:itemID="{C09949D9-5CEB-4330-96DD-FFD74BCDB380}">
  <ds:schemaRefs/>
</ds:datastoreItem>
</file>

<file path=docProps/app.xml><?xml version="1.0" encoding="utf-8"?>
<Properties xmlns="http://schemas.openxmlformats.org/officeDocument/2006/extended-properties" xmlns:vt="http://schemas.openxmlformats.org/officeDocument/2006/docPropsVTypes">
  <Template>Normal</Template>
  <Company>Essex County Council</Company>
  <Pages>2</Pages>
  <Words>341</Words>
  <Characters>1946</Characters>
  <Lines>16</Lines>
  <Paragraphs>4</Paragraphs>
  <TotalTime>0</TotalTime>
  <ScaleCrop>false</ScaleCrop>
  <LinksUpToDate>false</LinksUpToDate>
  <CharactersWithSpaces>2283</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2020-04-06T08:54:00Z</dcterms:created>
  <dc:creator>david.humphreys</dc:creator>
  <cp:lastModifiedBy>SueFuller</cp:lastModifiedBy>
  <dcterms:modified xsi:type="dcterms:W3CDTF">2025-07-09T13:08:31Z</dcterms:modified>
  <cp:revision>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0x01010077275096BE6E44408CE6078F0132A776</vt:lpwstr>
  </property>
  <property fmtid="{D5CDD505-2E9C-101B-9397-08002B2CF9AE}" pid="3" name="Order">
    <vt:r8>308800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MSIP_Label_39d8be9e-c8d9-4b9c-bd40-2c27cc7ea2e6_Enabled">
    <vt:lpwstr>true</vt:lpwstr>
  </property>
  <property fmtid="{D5CDD505-2E9C-101B-9397-08002B2CF9AE}" pid="11" name="MSIP_Label_39d8be9e-c8d9-4b9c-bd40-2c27cc7ea2e6_SetDate">
    <vt:lpwstr>2022-02-25T10:58:54Z</vt:lpwstr>
  </property>
  <property fmtid="{D5CDD505-2E9C-101B-9397-08002B2CF9AE}" pid="12" name="MSIP_Label_39d8be9e-c8d9-4b9c-bd40-2c27cc7ea2e6_Method">
    <vt:lpwstr>Standard</vt:lpwstr>
  </property>
  <property fmtid="{D5CDD505-2E9C-101B-9397-08002B2CF9AE}" pid="13" name="MSIP_Label_39d8be9e-c8d9-4b9c-bd40-2c27cc7ea2e6_Name">
    <vt:lpwstr>39d8be9e-c8d9-4b9c-bd40-2c27cc7ea2e6</vt:lpwstr>
  </property>
  <property fmtid="{D5CDD505-2E9C-101B-9397-08002B2CF9AE}" pid="14" name="MSIP_Label_39d8be9e-c8d9-4b9c-bd40-2c27cc7ea2e6_SiteId">
    <vt:lpwstr>a8b4324f-155c-4215-a0f1-7ed8cc9a992f</vt:lpwstr>
  </property>
  <property fmtid="{D5CDD505-2E9C-101B-9397-08002B2CF9AE}" pid="15" name="MSIP_Label_39d8be9e-c8d9-4b9c-bd40-2c27cc7ea2e6_ActionId">
    <vt:lpwstr>9c3923ea-e0bb-4169-99bd-0000adb56a11</vt:lpwstr>
  </property>
  <property fmtid="{D5CDD505-2E9C-101B-9397-08002B2CF9AE}" pid="16" name="MSIP_Label_39d8be9e-c8d9-4b9c-bd40-2c27cc7ea2e6_ContentBits">
    <vt:lpwstr>0</vt:lpwstr>
  </property>
  <property fmtid="{D5CDD505-2E9C-101B-9397-08002B2CF9AE}" pid="17" name="MediaServiceImageTags">
    <vt:lpwstr/>
  </property>
  <property fmtid="{D5CDD505-2E9C-101B-9397-08002B2CF9AE}" pid="18" name="KSOProductBuildVer">
    <vt:lpwstr>2057-12.2.0.21546</vt:lpwstr>
  </property>
  <property fmtid="{D5CDD505-2E9C-101B-9397-08002B2CF9AE}" pid="19" name="ICV">
    <vt:lpwstr>F728C122B2894DF089471E5A01FF810D_13</vt:lpwstr>
  </property>
</Properties>
</file>