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720C58">
      <w:pPr>
        <w:ind w:firstLine="720"/>
        <w:rPr>
          <w:rFonts w:ascii="Arial" w:hAnsi="Arial" w:cs="Arial"/>
        </w:rPr>
      </w:pPr>
      <w:r>
        <w:rPr>
          <w:rFonts w:ascii="Arial" w:hAnsi="Arial" w:cs="Arial"/>
          <w:b/>
          <w:bCs/>
        </w:rPr>
        <mc:AlternateContent>
          <mc:Choice Requires="wps">
            <w:drawing>
              <wp:inline distT="0" distB="0" distL="0" distR="0">
                <wp:extent cx="5257800" cy="1216025"/>
                <wp:effectExtent l="0" t="0" r="19050" b="22225"/>
                <wp:docPr id="1" name="Text Box 1"/>
                <wp:cNvGraphicFramePr/>
                <a:graphic xmlns:a="http://schemas.openxmlformats.org/drawingml/2006/main">
                  <a:graphicData uri="http://schemas.microsoft.com/office/word/2010/wordprocessingShape">
                    <wps:wsp>
                      <wps:cNvSpPr txBox="1"/>
                      <wps:spPr>
                        <a:xfrm>
                          <a:off x="0" y="0"/>
                          <a:ext cx="5257800" cy="1216325"/>
                        </a:xfrm>
                        <a:prstGeom prst="rect">
                          <a:avLst/>
                        </a:prstGeom>
                        <a:solidFill>
                          <a:sysClr val="window" lastClr="FFFFFF"/>
                        </a:solidFill>
                        <a:ln w="6350">
                          <a:solidFill>
                            <a:prstClr val="black"/>
                          </a:solidFill>
                        </a:ln>
                      </wps:spPr>
                      <wps:txbx>
                        <w:txbxContent>
                          <w:p w14:paraId="6D05DC13">
                            <w:pPr>
                              <w:jc w:val="center"/>
                            </w:pPr>
                            <w:r>
                              <w:rPr>
                                <w:rFonts w:ascii="Calibri Light" w:hAnsi="Calibri Light" w:cs="Calibri Light"/>
                                <w:b/>
                              </w:rPr>
                              <w:drawing>
                                <wp:inline distT="0" distB="0" distL="114300" distR="114300">
                                  <wp:extent cx="1016635" cy="1016635"/>
                                  <wp:effectExtent l="0" t="0" r="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016635" cy="10166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inline>
            </w:drawing>
          </mc:Choice>
          <mc:Fallback>
            <w:pict>
              <v:shape id="_x0000_s1026" o:spid="_x0000_s1026" o:spt="202" type="#_x0000_t202" style="height:95.75pt;width:414pt;" fillcolor="#FFFFFF" filled="t" stroked="t" coordsize="21600,21600" o:gfxdata="UEsDBAoAAAAAAIdO4kAAAAAAAAAAAAAAAAAEAAAAZHJzL1BLAwQUAAAACACHTuJAB38w1tIAAAAF&#10;AQAADwAAAGRycy9kb3ducmV2LnhtbE2PwWrDMBBE74X8g9hCb41shwbHsRxIoVB6a+pLboq1sU2l&#10;lZGUOP37bntpLwvDDLNv6t3NWXHFEEdPCvJlBgKp82akXkH78fJYgohJk9HWEyr4wgi7ZnFX68r4&#10;md7xeki94BKKlVYwpDRVUsZuQKfj0k9I7J19cDqxDL00Qc9c7qwssmwtnR6JPwx6wucBu8/DxSl4&#10;Xe/TEVvzZlbFys+t7MLZRqUe7vNsCyLhLf2F4Qef0aFhppO/kInCKuAh6feyVxYlyxOHNvkTyKaW&#10;/+mbb1BLAwQUAAAACACHTuJA8ROQGVECAADHBAAADgAAAGRycy9lMm9Eb2MueG1srVRNb9swDL0P&#10;2H8QdF+dpE3bBXGKrEWGAcVaIB12VmQ5NiaLmqTEzn79nmQ3/dqhh/kgUyT9SD6Snl91jWZ75XxN&#10;JufjkxFnykgqarPN+Y+H1adLznwQphCajMr5QXl+tfj4Yd7amZpQRbpQjgHE+Flrc16FYGdZ5mWl&#10;GuFPyCoDY0muEQFXt80KJ1qgNzqbjEbnWUuusI6k8h7am97IB0T3HkAqy1qqG5K7RpnQozqlRUBJ&#10;vqqt54uUbVkqGe7K0qvAdM5RaUgngkDexDNbzMVs64StajmkIN6TwquaGlEbBD1C3Ygg2M7Vb6Ca&#10;WjryVIYTSU3WF5IYQRXj0Stu1pWwKtUCqr09ku7/H6z8vr93rC4wCZwZ0aDhD6oL7At1bBzZaa2f&#10;wWlt4RY6qKPnoPdQxqK70jXxjXIY7OD2cOQ2gkkop5PpxeUIJgnbeDI+P51MI0729Ll1PnxV1LAo&#10;5NyheYlTsb/1oXd9dInRPOm6WNVap8vBX2vH9gJ9xrAV1HKmhQ9Q5nyVniHai8+0YW3Oz0+noxTp&#10;hS3GOmJutJC/3iIge21QRGSpZyNKodt0A0UbKg5gzlE/ed7KVQ3cW6R2LxxGDYxgGcMdjlITkqFB&#10;4qwi9+df+uiPCYCVsxajm3P/eyecQsXfDGbj8/jsDLAhXc6mFxNc3HPL5rnF7JprAmvoP7JLYvQP&#10;+lEsHTU/sbPLGBUmYSRi5zw8itehXyjsvFTLZXLCdFsRbs3ayggdW2RouQtU1qmVkaaem4E9zHca&#10;hmEX4wI9vyevp//P4i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AHfzDW0gAAAAUBAAAPAAAAAAAA&#10;AAEAIAAAACIAAABkcnMvZG93bnJldi54bWxQSwECFAAUAAAACACHTuJA8ROQGVECAADHBAAADgAA&#10;AAAAAAABACAAAAAhAQAAZHJzL2Uyb0RvYy54bWxQSwUGAAAAAAYABgBZAQAA5AUAAAAA&#10;">
                <v:fill on="t" focussize="0,0"/>
                <v:stroke weight="0.5pt" color="#000000" joinstyle="round"/>
                <v:imagedata o:title=""/>
                <o:lock v:ext="edit" aspectratio="f"/>
                <v:textbox>
                  <w:txbxContent>
                    <w:p w14:paraId="6D05DC13">
                      <w:pPr>
                        <w:jc w:val="center"/>
                      </w:pPr>
                      <w:r>
                        <w:rPr>
                          <w:rFonts w:ascii="Calibri Light" w:hAnsi="Calibri Light" w:cs="Calibri Light"/>
                          <w:b/>
                        </w:rPr>
                        <w:drawing>
                          <wp:inline distT="0" distB="0" distL="114300" distR="114300">
                            <wp:extent cx="1016635" cy="1016635"/>
                            <wp:effectExtent l="0" t="0" r="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016635" cy="1016635"/>
                                    </a:xfrm>
                                    <a:prstGeom prst="rect">
                                      <a:avLst/>
                                    </a:prstGeom>
                                    <a:noFill/>
                                    <a:ln>
                                      <a:noFill/>
                                    </a:ln>
                                  </pic:spPr>
                                </pic:pic>
                              </a:graphicData>
                            </a:graphic>
                          </wp:inline>
                        </w:drawing>
                      </w:r>
                    </w:p>
                  </w:txbxContent>
                </v:textbox>
                <w10:wrap type="none"/>
                <w10:anchorlock/>
              </v:shape>
            </w:pict>
          </mc:Fallback>
        </mc:AlternateContent>
      </w:r>
    </w:p>
    <w:p w14:paraId="1F55BF1D">
      <w:pPr>
        <w:ind w:firstLine="720"/>
        <w:rPr>
          <w:rFonts w:ascii="Arial" w:hAnsi="Arial" w:cs="Arial"/>
        </w:rPr>
      </w:pPr>
    </w:p>
    <w:p w14:paraId="5850832E">
      <w:pPr>
        <w:pStyle w:val="16"/>
        <w:jc w:val="center"/>
        <w:rPr>
          <w:rFonts w:ascii="Arial" w:hAnsi="Arial" w:cs="Arial"/>
          <w:b/>
          <w:sz w:val="40"/>
          <w:szCs w:val="40"/>
        </w:rPr>
      </w:pPr>
      <w:r>
        <w:rPr>
          <w:rFonts w:ascii="Arial" w:hAnsi="Arial" w:cs="Arial"/>
          <w:b/>
          <w:sz w:val="40"/>
          <w:szCs w:val="40"/>
        </w:rPr>
        <w:t>Data Handling Security Policy</w:t>
      </w:r>
    </w:p>
    <w:p w14:paraId="23C5552D">
      <w:pPr>
        <w:pStyle w:val="16"/>
        <w:ind w:left="720"/>
        <w:rPr>
          <w:rFonts w:ascii="Arial" w:hAnsi="Arial" w:cs="Arial"/>
        </w:rPr>
      </w:pPr>
    </w:p>
    <w:p w14:paraId="24586A1F">
      <w:pPr>
        <w:contextualSpacing/>
        <w:rPr>
          <w:rFonts w:ascii="Arial" w:hAnsi="Arial" w:cs="Arial"/>
          <w:sz w:val="24"/>
          <w:szCs w:val="24"/>
        </w:rPr>
      </w:pPr>
      <w:r>
        <w:rPr>
          <w:rFonts w:ascii="Arial" w:hAnsi="Arial" w:cs="Arial"/>
          <w:sz w:val="24"/>
          <w:szCs w:val="24"/>
        </w:rPr>
        <w:t xml:space="preserve">You are the custodian of the equipment and data issued to you to carry out your role; it is your responsibility to keep it physically secure. </w:t>
      </w:r>
    </w:p>
    <w:p w14:paraId="6461748A">
      <w:pPr>
        <w:pStyle w:val="16"/>
        <w:rPr>
          <w:rFonts w:ascii="Arial" w:hAnsi="Arial" w:cs="Arial"/>
          <w:sz w:val="24"/>
          <w:szCs w:val="24"/>
        </w:rPr>
      </w:pPr>
      <w:r>
        <w:rPr>
          <w:rFonts w:ascii="Arial" w:hAnsi="Arial" w:cs="Arial"/>
          <w:color w:val="000000" w:themeColor="text1"/>
          <w:sz w:val="24"/>
          <w:szCs w:val="24"/>
          <w14:textFill>
            <w14:solidFill>
              <w14:schemeClr w14:val="tx1"/>
            </w14:solidFill>
          </w14:textFill>
        </w:rPr>
        <w:t xml:space="preserve">This policy sets out the rules all staff, contractors and volunteers </w:t>
      </w:r>
      <w:r>
        <w:rPr>
          <w:rFonts w:ascii="Arial" w:hAnsi="Arial" w:cs="Arial"/>
          <w:b/>
          <w:bCs/>
          <w:color w:val="000000" w:themeColor="text1"/>
          <w:sz w:val="24"/>
          <w:szCs w:val="24"/>
          <w:u w:val="single"/>
          <w14:textFill>
            <w14:solidFill>
              <w14:schemeClr w14:val="tx1"/>
            </w14:solidFill>
          </w14:textFill>
        </w:rPr>
        <w:t>must</w:t>
      </w:r>
      <w:r>
        <w:rPr>
          <w:rFonts w:ascii="Arial" w:hAnsi="Arial" w:cs="Arial"/>
          <w:color w:val="000000" w:themeColor="text1"/>
          <w:sz w:val="24"/>
          <w:szCs w:val="24"/>
          <w14:textFill>
            <w14:solidFill>
              <w14:schemeClr w14:val="tx1"/>
            </w14:solidFill>
          </w14:textFill>
        </w:rPr>
        <w:t xml:space="preserve"> follow when </w:t>
      </w:r>
      <w:r>
        <w:rPr>
          <w:rFonts w:ascii="Arial" w:hAnsi="Arial" w:cs="Arial"/>
          <w:sz w:val="24"/>
          <w:szCs w:val="24"/>
        </w:rPr>
        <w:t>managing IT equipment, removable storage devices and papers, in the office, in transit and at home or other work locations.</w:t>
      </w:r>
    </w:p>
    <w:p w14:paraId="12F0C342">
      <w:pPr>
        <w:pStyle w:val="16"/>
        <w:rPr>
          <w:rFonts w:ascii="Arial" w:hAnsi="Arial" w:cs="Arial"/>
          <w:sz w:val="24"/>
          <w:szCs w:val="24"/>
        </w:rPr>
      </w:pPr>
    </w:p>
    <w:p w14:paraId="3CAC08B0">
      <w:pPr>
        <w:pStyle w:val="16"/>
        <w:spacing w:after="240"/>
        <w:rPr>
          <w:rFonts w:ascii="Arial" w:hAnsi="Arial" w:cs="Arial"/>
          <w:b/>
          <w:sz w:val="24"/>
          <w:szCs w:val="24"/>
        </w:rPr>
      </w:pPr>
      <w:r>
        <w:rPr>
          <w:rFonts w:ascii="Arial" w:hAnsi="Arial" w:cs="Arial"/>
          <w:b/>
          <w:sz w:val="24"/>
          <w:szCs w:val="24"/>
        </w:rPr>
        <w:t>Policy rules:</w:t>
      </w:r>
    </w:p>
    <w:p w14:paraId="44890D1C">
      <w:pPr>
        <w:pStyle w:val="15"/>
        <w:numPr>
          <w:ilvl w:val="0"/>
          <w:numId w:val="1"/>
        </w:numPr>
        <w:rPr>
          <w:rFonts w:ascii="Arial" w:hAnsi="Arial" w:cs="Arial"/>
          <w:sz w:val="24"/>
          <w:szCs w:val="24"/>
        </w:rPr>
      </w:pPr>
      <w:r>
        <w:rPr>
          <w:rFonts w:ascii="Arial" w:hAnsi="Arial" w:cs="Arial"/>
          <w:sz w:val="24"/>
          <w:szCs w:val="24"/>
        </w:rPr>
        <w:t xml:space="preserve">You must take </w:t>
      </w:r>
      <w:r>
        <w:rPr>
          <w:rFonts w:ascii="Arial" w:hAnsi="Arial" w:cs="Arial"/>
          <w:b/>
          <w:sz w:val="24"/>
          <w:szCs w:val="24"/>
        </w:rPr>
        <w:t>responsibility</w:t>
      </w:r>
      <w:r>
        <w:rPr>
          <w:rFonts w:ascii="Arial" w:hAnsi="Arial" w:cs="Arial"/>
          <w:sz w:val="24"/>
          <w:szCs w:val="24"/>
        </w:rPr>
        <w:t xml:space="preserve"> for the security of the equipment allocated to you and that is in your custody.</w:t>
      </w:r>
    </w:p>
    <w:p w14:paraId="58C8D425">
      <w:pPr>
        <w:pStyle w:val="15"/>
        <w:numPr>
          <w:ilvl w:val="0"/>
          <w:numId w:val="1"/>
        </w:numPr>
        <w:rPr>
          <w:rFonts w:ascii="Arial" w:hAnsi="Arial" w:cs="Arial"/>
          <w:sz w:val="24"/>
          <w:szCs w:val="24"/>
        </w:rPr>
      </w:pPr>
      <w:r>
        <w:rPr>
          <w:rFonts w:ascii="Arial" w:hAnsi="Arial" w:cs="Arial"/>
          <w:sz w:val="24"/>
          <w:szCs w:val="24"/>
        </w:rPr>
        <w:t xml:space="preserve">When you are physically </w:t>
      </w:r>
      <w:r>
        <w:rPr>
          <w:rFonts w:ascii="Arial" w:hAnsi="Arial" w:cs="Arial"/>
          <w:b/>
          <w:sz w:val="24"/>
          <w:szCs w:val="24"/>
        </w:rPr>
        <w:t>transporting</w:t>
      </w:r>
      <w:r>
        <w:rPr>
          <w:rFonts w:ascii="Arial" w:hAnsi="Arial" w:cs="Arial"/>
          <w:sz w:val="24"/>
          <w:szCs w:val="24"/>
        </w:rPr>
        <w:t xml:space="preserve"> our data outside of our premises, on any medium, you must take steps to keep it secure</w:t>
      </w:r>
    </w:p>
    <w:p w14:paraId="2B7F7BA4">
      <w:pPr>
        <w:pStyle w:val="15"/>
        <w:numPr>
          <w:ilvl w:val="0"/>
          <w:numId w:val="1"/>
        </w:numPr>
        <w:rPr>
          <w:rFonts w:ascii="Arial" w:hAnsi="Arial" w:cs="Arial"/>
          <w:sz w:val="24"/>
          <w:szCs w:val="24"/>
        </w:rPr>
      </w:pPr>
      <w:r>
        <w:rPr>
          <w:rFonts w:ascii="Arial" w:hAnsi="Arial" w:cs="Arial"/>
          <w:sz w:val="24"/>
          <w:szCs w:val="24"/>
        </w:rPr>
        <w:t xml:space="preserve">You must not leave Official-Sensitive data unattended in a </w:t>
      </w:r>
      <w:r>
        <w:rPr>
          <w:rFonts w:ascii="Arial" w:hAnsi="Arial" w:cs="Arial"/>
          <w:b/>
          <w:sz w:val="24"/>
          <w:szCs w:val="24"/>
        </w:rPr>
        <w:t>vehicle</w:t>
      </w:r>
      <w:r>
        <w:rPr>
          <w:rFonts w:ascii="Arial" w:hAnsi="Arial" w:cs="Arial"/>
          <w:sz w:val="24"/>
          <w:szCs w:val="24"/>
        </w:rPr>
        <w:t xml:space="preserve"> for longer than 10 minutes, and always keep it out of sight </w:t>
      </w:r>
    </w:p>
    <w:p w14:paraId="54B70124">
      <w:pPr>
        <w:pStyle w:val="15"/>
        <w:numPr>
          <w:ilvl w:val="0"/>
          <w:numId w:val="1"/>
        </w:numPr>
        <w:rPr>
          <w:rFonts w:ascii="Arial" w:hAnsi="Arial" w:cs="Arial"/>
          <w:sz w:val="24"/>
          <w:szCs w:val="24"/>
        </w:rPr>
      </w:pPr>
      <w:r>
        <w:rPr>
          <w:rFonts w:ascii="Arial" w:hAnsi="Arial" w:cs="Arial"/>
          <w:sz w:val="24"/>
          <w:szCs w:val="24"/>
        </w:rPr>
        <w:t xml:space="preserve">You must take appropriate steps to secure our data when working at </w:t>
      </w:r>
      <w:r>
        <w:rPr>
          <w:rFonts w:ascii="Arial" w:hAnsi="Arial" w:cs="Arial"/>
          <w:b/>
          <w:bCs/>
          <w:sz w:val="24"/>
          <w:szCs w:val="24"/>
        </w:rPr>
        <w:t>home</w:t>
      </w:r>
      <w:r>
        <w:rPr>
          <w:rFonts w:ascii="Arial" w:hAnsi="Arial" w:cs="Arial"/>
          <w:sz w:val="24"/>
          <w:szCs w:val="24"/>
        </w:rPr>
        <w:t xml:space="preserve"> or other organisations’ </w:t>
      </w:r>
      <w:r>
        <w:rPr>
          <w:rFonts w:ascii="Arial" w:hAnsi="Arial" w:cs="Arial"/>
          <w:b/>
          <w:bCs/>
          <w:sz w:val="24"/>
          <w:szCs w:val="24"/>
        </w:rPr>
        <w:t>premises</w:t>
      </w:r>
    </w:p>
    <w:p w14:paraId="0BB3B59F">
      <w:pPr>
        <w:pStyle w:val="15"/>
        <w:numPr>
          <w:ilvl w:val="0"/>
          <w:numId w:val="1"/>
        </w:numPr>
        <w:rPr>
          <w:rFonts w:ascii="Arial" w:hAnsi="Arial" w:cs="Arial"/>
          <w:sz w:val="24"/>
          <w:szCs w:val="24"/>
        </w:rPr>
      </w:pPr>
      <w:r>
        <w:rPr>
          <w:rFonts w:ascii="Arial" w:hAnsi="Arial" w:cs="Arial"/>
          <w:sz w:val="24"/>
          <w:szCs w:val="24"/>
        </w:rPr>
        <w:t xml:space="preserve">If working with our data on approved unmanaged equipment (personal devices), you must </w:t>
      </w:r>
      <w:r>
        <w:rPr>
          <w:rFonts w:ascii="Arial" w:hAnsi="Arial" w:cs="Arial"/>
          <w:b/>
          <w:bCs/>
          <w:sz w:val="24"/>
          <w:szCs w:val="24"/>
        </w:rPr>
        <w:t>remove</w:t>
      </w:r>
      <w:r>
        <w:rPr>
          <w:rFonts w:ascii="Arial" w:hAnsi="Arial" w:cs="Arial"/>
          <w:sz w:val="24"/>
          <w:szCs w:val="24"/>
        </w:rPr>
        <w:t xml:space="preserve"> the data when finished, including from cloud storage, and prior to leaving the school’s employment</w:t>
      </w:r>
    </w:p>
    <w:p w14:paraId="084B4BB0">
      <w:pPr>
        <w:pStyle w:val="15"/>
        <w:numPr>
          <w:ilvl w:val="0"/>
          <w:numId w:val="1"/>
        </w:numPr>
        <w:rPr>
          <w:rFonts w:ascii="Arial" w:hAnsi="Arial" w:cs="Arial"/>
          <w:sz w:val="24"/>
          <w:szCs w:val="24"/>
        </w:rPr>
      </w:pPr>
      <w:r>
        <w:rPr>
          <w:rFonts w:ascii="Arial" w:hAnsi="Arial" w:cs="Arial"/>
          <w:sz w:val="24"/>
          <w:szCs w:val="24"/>
        </w:rPr>
        <w:t xml:space="preserve">If you are taking Official-Sensitive information out of the school, this must be </w:t>
      </w:r>
      <w:r>
        <w:rPr>
          <w:rFonts w:ascii="Arial" w:hAnsi="Arial" w:cs="Arial"/>
          <w:b/>
          <w:sz w:val="24"/>
          <w:szCs w:val="24"/>
        </w:rPr>
        <w:t>recorded</w:t>
      </w:r>
    </w:p>
    <w:p w14:paraId="4BA357E2">
      <w:pPr>
        <w:pStyle w:val="15"/>
        <w:numPr>
          <w:ilvl w:val="0"/>
          <w:numId w:val="1"/>
        </w:numPr>
        <w:rPr>
          <w:rFonts w:ascii="Arial" w:hAnsi="Arial" w:cs="Arial"/>
          <w:sz w:val="24"/>
          <w:szCs w:val="24"/>
        </w:rPr>
      </w:pPr>
      <w:r>
        <w:rPr>
          <w:rFonts w:ascii="Arial" w:hAnsi="Arial" w:cs="Arial"/>
          <w:sz w:val="24"/>
          <w:szCs w:val="24"/>
        </w:rPr>
        <w:t xml:space="preserve">You must make sure that conversations discussing sensitive data are only audible by an </w:t>
      </w:r>
      <w:r>
        <w:rPr>
          <w:rFonts w:ascii="Arial" w:hAnsi="Arial" w:cs="Arial"/>
          <w:b/>
          <w:sz w:val="24"/>
          <w:szCs w:val="24"/>
        </w:rPr>
        <w:t>appropriate audience</w:t>
      </w:r>
      <w:r>
        <w:rPr>
          <w:rFonts w:ascii="Arial" w:hAnsi="Arial" w:cs="Arial"/>
          <w:sz w:val="24"/>
          <w:szCs w:val="24"/>
        </w:rPr>
        <w:t xml:space="preserve"> </w:t>
      </w:r>
    </w:p>
    <w:p w14:paraId="546F54BD">
      <w:pPr>
        <w:pStyle w:val="15"/>
        <w:numPr>
          <w:ilvl w:val="0"/>
          <w:numId w:val="1"/>
        </w:numPr>
        <w:rPr>
          <w:rFonts w:ascii="Arial" w:hAnsi="Arial" w:cs="Arial"/>
          <w:sz w:val="24"/>
          <w:szCs w:val="24"/>
        </w:rPr>
      </w:pPr>
      <w:r>
        <w:rPr>
          <w:rFonts w:ascii="Arial" w:hAnsi="Arial" w:cs="Arial"/>
          <w:sz w:val="24"/>
          <w:szCs w:val="24"/>
        </w:rPr>
        <w:t xml:space="preserve">You must not allow anyone to </w:t>
      </w:r>
      <w:r>
        <w:rPr>
          <w:rFonts w:ascii="Arial" w:hAnsi="Arial" w:cs="Arial"/>
          <w:b/>
          <w:sz w:val="24"/>
          <w:szCs w:val="24"/>
        </w:rPr>
        <w:t>access</w:t>
      </w:r>
      <w:r>
        <w:rPr>
          <w:rFonts w:ascii="Arial" w:hAnsi="Arial" w:cs="Arial"/>
          <w:sz w:val="24"/>
          <w:szCs w:val="24"/>
        </w:rPr>
        <w:t xml:space="preserve"> to your IT equipment through your IT account</w:t>
      </w:r>
    </w:p>
    <w:p w14:paraId="4E12B61E">
      <w:pPr>
        <w:pStyle w:val="15"/>
        <w:numPr>
          <w:ilvl w:val="0"/>
          <w:numId w:val="1"/>
        </w:numPr>
        <w:rPr>
          <w:rFonts w:ascii="Arial" w:hAnsi="Arial" w:cs="Arial"/>
          <w:sz w:val="24"/>
          <w:szCs w:val="24"/>
        </w:rPr>
      </w:pPr>
      <w:r>
        <w:rPr>
          <w:rFonts w:ascii="Arial" w:hAnsi="Arial" w:cs="Arial"/>
          <w:sz w:val="24"/>
          <w:szCs w:val="24"/>
        </w:rPr>
        <w:t xml:space="preserve">You must not store our business data on any equipment, including personal devices, which has not been </w:t>
      </w:r>
      <w:r>
        <w:rPr>
          <w:rFonts w:ascii="Arial" w:hAnsi="Arial" w:cs="Arial"/>
          <w:b/>
          <w:bCs/>
          <w:sz w:val="24"/>
          <w:szCs w:val="24"/>
        </w:rPr>
        <w:t>approved</w:t>
      </w:r>
      <w:r>
        <w:rPr>
          <w:rFonts w:ascii="Arial" w:hAnsi="Arial" w:cs="Arial"/>
          <w:sz w:val="24"/>
          <w:szCs w:val="24"/>
        </w:rPr>
        <w:t xml:space="preserve">  </w:t>
      </w:r>
    </w:p>
    <w:p w14:paraId="3EE18679">
      <w:pPr>
        <w:pStyle w:val="15"/>
        <w:numPr>
          <w:ilvl w:val="0"/>
          <w:numId w:val="1"/>
        </w:numPr>
        <w:rPr>
          <w:rFonts w:ascii="Arial" w:hAnsi="Arial" w:cs="Arial"/>
          <w:sz w:val="24"/>
          <w:szCs w:val="24"/>
        </w:rPr>
      </w:pPr>
      <w:r>
        <w:rPr>
          <w:rFonts w:ascii="Arial" w:hAnsi="Arial" w:cs="Arial"/>
          <w:sz w:val="24"/>
          <w:szCs w:val="24"/>
        </w:rPr>
        <w:t xml:space="preserve">You must not allow unauthorised people to be able view information on your IT equipment </w:t>
      </w:r>
      <w:r>
        <w:rPr>
          <w:rFonts w:ascii="Arial" w:hAnsi="Arial" w:cs="Arial"/>
          <w:b/>
          <w:sz w:val="24"/>
          <w:szCs w:val="24"/>
        </w:rPr>
        <w:t>display</w:t>
      </w:r>
    </w:p>
    <w:p w14:paraId="6CF0A72C">
      <w:pPr>
        <w:pStyle w:val="15"/>
        <w:numPr>
          <w:ilvl w:val="0"/>
          <w:numId w:val="1"/>
        </w:numPr>
        <w:rPr>
          <w:rFonts w:ascii="Arial" w:hAnsi="Arial" w:cs="Arial"/>
          <w:sz w:val="24"/>
          <w:szCs w:val="24"/>
        </w:rPr>
      </w:pPr>
      <w:r>
        <w:rPr>
          <w:rFonts w:ascii="Arial" w:hAnsi="Arial" w:cs="Arial"/>
          <w:sz w:val="24"/>
          <w:szCs w:val="24"/>
        </w:rPr>
        <w:t xml:space="preserve">You must not save your </w:t>
      </w:r>
      <w:r>
        <w:rPr>
          <w:rFonts w:ascii="Arial" w:hAnsi="Arial" w:cs="Arial"/>
          <w:b/>
          <w:bCs/>
          <w:sz w:val="24"/>
          <w:szCs w:val="24"/>
        </w:rPr>
        <w:t>passwords</w:t>
      </w:r>
      <w:r>
        <w:rPr>
          <w:rFonts w:ascii="Arial" w:hAnsi="Arial" w:cs="Arial"/>
          <w:sz w:val="24"/>
          <w:szCs w:val="24"/>
        </w:rPr>
        <w:t xml:space="preserve"> to any web-based system which holds our data in the browser</w:t>
      </w:r>
    </w:p>
    <w:p w14:paraId="674A2D4E">
      <w:pPr>
        <w:pStyle w:val="15"/>
        <w:numPr>
          <w:ilvl w:val="0"/>
          <w:numId w:val="1"/>
        </w:numPr>
        <w:rPr>
          <w:rFonts w:ascii="Arial" w:hAnsi="Arial" w:cs="Arial"/>
          <w:sz w:val="24"/>
          <w:szCs w:val="24"/>
        </w:rPr>
      </w:pPr>
      <w:r>
        <w:rPr>
          <w:rFonts w:ascii="Arial" w:hAnsi="Arial" w:cs="Arial"/>
          <w:sz w:val="24"/>
          <w:szCs w:val="24"/>
        </w:rPr>
        <w:t xml:space="preserve">You must always use an approved secure method of </w:t>
      </w:r>
      <w:r>
        <w:rPr>
          <w:rFonts w:ascii="Arial" w:hAnsi="Arial" w:cs="Arial"/>
          <w:b/>
          <w:sz w:val="24"/>
          <w:szCs w:val="24"/>
        </w:rPr>
        <w:t>disposing</w:t>
      </w:r>
      <w:r>
        <w:rPr>
          <w:rFonts w:ascii="Arial" w:hAnsi="Arial" w:cs="Arial"/>
          <w:sz w:val="24"/>
          <w:szCs w:val="24"/>
        </w:rPr>
        <w:t xml:space="preserve"> of physical documents and data storage devices</w:t>
      </w:r>
    </w:p>
    <w:p w14:paraId="23B8FFF3">
      <w:pPr>
        <w:pStyle w:val="15"/>
        <w:numPr>
          <w:ilvl w:val="0"/>
          <w:numId w:val="1"/>
        </w:numPr>
        <w:rPr>
          <w:rFonts w:ascii="Arial" w:hAnsi="Arial" w:cs="Arial"/>
          <w:sz w:val="24"/>
          <w:szCs w:val="24"/>
        </w:rPr>
      </w:pPr>
      <w:r>
        <w:rPr>
          <w:rFonts w:ascii="Arial" w:hAnsi="Arial" w:cs="Arial"/>
          <w:sz w:val="24"/>
          <w:szCs w:val="24"/>
        </w:rPr>
        <w:t xml:space="preserve">You must </w:t>
      </w:r>
      <w:r>
        <w:rPr>
          <w:rFonts w:ascii="Arial" w:hAnsi="Arial" w:cs="Arial"/>
          <w:b/>
          <w:sz w:val="24"/>
          <w:szCs w:val="24"/>
        </w:rPr>
        <w:t>return</w:t>
      </w:r>
      <w:r>
        <w:rPr>
          <w:rFonts w:ascii="Arial" w:hAnsi="Arial" w:cs="Arial"/>
          <w:sz w:val="24"/>
          <w:szCs w:val="24"/>
        </w:rPr>
        <w:t xml:space="preserve"> all equipment which has been issued to you by us, prior to leaving your employment</w:t>
      </w:r>
    </w:p>
    <w:p w14:paraId="0B3FD55D">
      <w:pPr>
        <w:pStyle w:val="15"/>
        <w:numPr>
          <w:ilvl w:val="0"/>
          <w:numId w:val="1"/>
        </w:numPr>
        <w:rPr>
          <w:rFonts w:ascii="Arial" w:hAnsi="Arial" w:cs="Arial"/>
          <w:sz w:val="24"/>
          <w:szCs w:val="24"/>
        </w:rPr>
      </w:pPr>
      <w:r>
        <w:rPr>
          <w:rFonts w:ascii="Arial" w:hAnsi="Arial" w:cs="Arial"/>
          <w:sz w:val="24"/>
          <w:szCs w:val="24"/>
        </w:rPr>
        <w:t xml:space="preserve">You must </w:t>
      </w:r>
      <w:r>
        <w:rPr>
          <w:rFonts w:ascii="Arial" w:hAnsi="Arial" w:cs="Arial"/>
          <w:b/>
          <w:sz w:val="24"/>
          <w:szCs w:val="24"/>
        </w:rPr>
        <w:t>report</w:t>
      </w:r>
      <w:r>
        <w:rPr>
          <w:rFonts w:ascii="Arial" w:hAnsi="Arial" w:cs="Arial"/>
          <w:sz w:val="24"/>
          <w:szCs w:val="24"/>
        </w:rPr>
        <w:t xml:space="preserve"> as quickly as possible if your equipment is lost or stolen and assist with any </w:t>
      </w:r>
      <w:r>
        <w:rPr>
          <w:rFonts w:ascii="Arial" w:hAnsi="Arial" w:cs="Arial"/>
          <w:b/>
          <w:sz w:val="24"/>
          <w:szCs w:val="24"/>
        </w:rPr>
        <w:t>investigation</w:t>
      </w:r>
      <w:r>
        <w:rPr>
          <w:rFonts w:ascii="Arial" w:hAnsi="Arial" w:cs="Arial"/>
          <w:sz w:val="24"/>
          <w:szCs w:val="24"/>
        </w:rPr>
        <w:t xml:space="preserve"> </w:t>
      </w:r>
    </w:p>
    <w:p w14:paraId="2AE8FA39">
      <w:pPr>
        <w:pStyle w:val="15"/>
        <w:numPr>
          <w:ilvl w:val="0"/>
          <w:numId w:val="1"/>
        </w:numPr>
        <w:rPr>
          <w:rFonts w:ascii="Arial" w:hAnsi="Arial" w:cs="Arial"/>
          <w:sz w:val="24"/>
          <w:szCs w:val="24"/>
        </w:rPr>
      </w:pPr>
      <w:r>
        <w:rPr>
          <w:rFonts w:ascii="Arial" w:hAnsi="Arial" w:cs="Arial"/>
          <w:sz w:val="24"/>
          <w:szCs w:val="24"/>
        </w:rPr>
        <w:t xml:space="preserve">You must ensure that all security functions are </w:t>
      </w:r>
      <w:r>
        <w:rPr>
          <w:rFonts w:ascii="Arial" w:hAnsi="Arial" w:cs="Arial"/>
          <w:b/>
          <w:sz w:val="24"/>
          <w:szCs w:val="24"/>
        </w:rPr>
        <w:t>enabled</w:t>
      </w:r>
      <w:r>
        <w:rPr>
          <w:rFonts w:ascii="Arial" w:hAnsi="Arial" w:cs="Arial"/>
          <w:sz w:val="24"/>
          <w:szCs w:val="24"/>
        </w:rPr>
        <w:t xml:space="preserve"> on your portable equipment, such as pin codes and password access</w:t>
      </w:r>
    </w:p>
    <w:p w14:paraId="46D42157">
      <w:pPr>
        <w:pStyle w:val="15"/>
        <w:numPr>
          <w:ilvl w:val="0"/>
          <w:numId w:val="1"/>
        </w:numPr>
        <w:rPr>
          <w:rFonts w:ascii="Arial" w:hAnsi="Arial" w:cs="Arial"/>
          <w:sz w:val="24"/>
          <w:szCs w:val="24"/>
        </w:rPr>
      </w:pPr>
      <w:r>
        <w:rPr>
          <w:rFonts w:ascii="Arial" w:hAnsi="Arial" w:cs="Arial"/>
          <w:sz w:val="24"/>
          <w:szCs w:val="24"/>
        </w:rPr>
        <w:t xml:space="preserve">You must keep your portable equipment, </w:t>
      </w:r>
      <w:r>
        <w:rPr>
          <w:rFonts w:ascii="Arial" w:hAnsi="Arial" w:cs="Arial"/>
          <w:b/>
          <w:sz w:val="24"/>
          <w:szCs w:val="24"/>
        </w:rPr>
        <w:t>clean and serviceable</w:t>
      </w:r>
      <w:r>
        <w:rPr>
          <w:rFonts w:ascii="Arial" w:hAnsi="Arial" w:cs="Arial"/>
          <w:sz w:val="24"/>
          <w:szCs w:val="24"/>
        </w:rPr>
        <w:t>, including keeping it charged</w:t>
      </w:r>
    </w:p>
    <w:p w14:paraId="530FEF21">
      <w:pPr>
        <w:pStyle w:val="15"/>
        <w:numPr>
          <w:ilvl w:val="0"/>
          <w:numId w:val="1"/>
        </w:numPr>
        <w:rPr>
          <w:rFonts w:ascii="Arial" w:hAnsi="Arial" w:cs="Arial"/>
          <w:sz w:val="24"/>
          <w:szCs w:val="24"/>
        </w:rPr>
      </w:pPr>
      <w:r>
        <w:rPr>
          <w:rFonts w:ascii="Arial" w:hAnsi="Arial" w:cs="Arial"/>
          <w:sz w:val="24"/>
          <w:szCs w:val="24"/>
        </w:rPr>
        <w:t xml:space="preserve">You must not take any of our equipment </w:t>
      </w:r>
      <w:r>
        <w:rPr>
          <w:rFonts w:ascii="Arial" w:hAnsi="Arial" w:cs="Arial"/>
          <w:b/>
          <w:sz w:val="24"/>
          <w:szCs w:val="24"/>
        </w:rPr>
        <w:t>abroad</w:t>
      </w:r>
      <w:r>
        <w:rPr>
          <w:rFonts w:ascii="Arial" w:hAnsi="Arial" w:cs="Arial"/>
          <w:sz w:val="24"/>
          <w:szCs w:val="24"/>
        </w:rPr>
        <w:t xml:space="preserve"> unless you are traveling in a business capacity with approval</w:t>
      </w:r>
    </w:p>
    <w:p w14:paraId="2555ADBD">
      <w:pPr>
        <w:pStyle w:val="15"/>
        <w:numPr>
          <w:ilvl w:val="0"/>
          <w:numId w:val="1"/>
        </w:numPr>
        <w:rPr>
          <w:rFonts w:ascii="Arial" w:hAnsi="Arial" w:cs="Arial"/>
          <w:sz w:val="24"/>
          <w:szCs w:val="24"/>
        </w:rPr>
      </w:pPr>
      <w:r>
        <w:rPr>
          <w:rFonts w:ascii="Arial" w:hAnsi="Arial" w:cs="Arial"/>
          <w:sz w:val="24"/>
          <w:szCs w:val="24"/>
        </w:rPr>
        <w:t xml:space="preserve">You must not give your portable equipment to </w:t>
      </w:r>
      <w:r>
        <w:rPr>
          <w:rFonts w:ascii="Arial" w:hAnsi="Arial" w:cs="Arial"/>
          <w:b/>
          <w:sz w:val="24"/>
          <w:szCs w:val="24"/>
        </w:rPr>
        <w:t>another person</w:t>
      </w:r>
      <w:r>
        <w:rPr>
          <w:rFonts w:ascii="Arial" w:hAnsi="Arial" w:cs="Arial"/>
          <w:sz w:val="24"/>
          <w:szCs w:val="24"/>
        </w:rPr>
        <w:t xml:space="preserve"> if you are not using it. </w:t>
      </w:r>
    </w:p>
    <w:p w14:paraId="62F702F3">
      <w:pPr>
        <w:pStyle w:val="15"/>
        <w:numPr>
          <w:ilvl w:val="0"/>
          <w:numId w:val="1"/>
        </w:numPr>
        <w:rPr>
          <w:rFonts w:ascii="Arial" w:hAnsi="Arial" w:cs="Arial"/>
          <w:sz w:val="24"/>
          <w:szCs w:val="24"/>
        </w:rPr>
      </w:pPr>
      <w:r>
        <w:rPr>
          <w:rFonts w:ascii="Arial" w:hAnsi="Arial" w:cs="Arial"/>
          <w:sz w:val="24"/>
          <w:szCs w:val="24"/>
        </w:rPr>
        <w:t xml:space="preserve">You must immediately raise as a </w:t>
      </w:r>
      <w:r>
        <w:rPr>
          <w:rFonts w:ascii="Arial" w:hAnsi="Arial" w:cs="Arial"/>
          <w:b/>
          <w:bCs/>
          <w:sz w:val="24"/>
          <w:szCs w:val="24"/>
        </w:rPr>
        <w:t>data breach</w:t>
      </w:r>
      <w:r>
        <w:rPr>
          <w:rFonts w:ascii="Arial" w:hAnsi="Arial" w:cs="Arial"/>
          <w:sz w:val="24"/>
          <w:szCs w:val="24"/>
        </w:rPr>
        <w:t xml:space="preserve"> any loss, unlawful access or theft of the data we are responsible for</w:t>
      </w:r>
    </w:p>
    <w:p w14:paraId="4D5C74C8">
      <w:pPr>
        <w:pStyle w:val="3"/>
        <w:spacing w:before="0"/>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How must I comply with these policy rules?</w:t>
      </w:r>
    </w:p>
    <w:p w14:paraId="1BC3A519">
      <w:pPr>
        <w:spacing w:after="0" w:line="240" w:lineRule="auto"/>
        <w:rPr>
          <w:sz w:val="24"/>
          <w:szCs w:val="24"/>
        </w:rPr>
      </w:pPr>
    </w:p>
    <w:p w14:paraId="08129EA2">
      <w:pPr>
        <w:contextualSpacing/>
        <w:rPr>
          <w:rFonts w:ascii="Arial" w:hAnsi="Arial" w:cs="Arial"/>
          <w:sz w:val="24"/>
          <w:szCs w:val="24"/>
        </w:rPr>
      </w:pPr>
      <w:r>
        <w:rPr>
          <w:rFonts w:ascii="Arial" w:hAnsi="Arial" w:cs="Arial"/>
          <w:sz w:val="24"/>
          <w:szCs w:val="24"/>
        </w:rPr>
        <w:t>We have related policies, procedures and guidance which help you comply with these rules. These include:</w:t>
      </w:r>
    </w:p>
    <w:p w14:paraId="14B09D3B">
      <w:pPr>
        <w:pStyle w:val="16"/>
        <w:numPr>
          <w:ilvl w:val="0"/>
          <w:numId w:val="2"/>
        </w:numPr>
        <w:rPr>
          <w:rFonts w:ascii="Arial" w:hAnsi="Arial" w:cs="Arial"/>
          <w:sz w:val="24"/>
          <w:szCs w:val="24"/>
        </w:rPr>
      </w:pPr>
      <w:r>
        <w:rPr>
          <w:rFonts w:ascii="Arial" w:hAnsi="Arial" w:cs="Arial"/>
          <w:sz w:val="24"/>
          <w:szCs w:val="24"/>
        </w:rPr>
        <w:t>Data Protection Policy</w:t>
      </w:r>
    </w:p>
    <w:p w14:paraId="16A66C08">
      <w:pPr>
        <w:pStyle w:val="16"/>
        <w:numPr>
          <w:ilvl w:val="0"/>
          <w:numId w:val="2"/>
        </w:numPr>
        <w:rPr>
          <w:rFonts w:ascii="Arial" w:hAnsi="Arial" w:cs="Arial"/>
          <w:sz w:val="24"/>
          <w:szCs w:val="24"/>
        </w:rPr>
      </w:pPr>
      <w:r>
        <w:rPr>
          <w:rFonts w:ascii="Arial" w:hAnsi="Arial" w:cs="Arial"/>
          <w:sz w:val="24"/>
          <w:szCs w:val="24"/>
        </w:rPr>
        <w:t>Data Breach Policy</w:t>
      </w:r>
    </w:p>
    <w:p w14:paraId="098B1EF0">
      <w:pPr>
        <w:pStyle w:val="16"/>
        <w:numPr>
          <w:ilvl w:val="0"/>
          <w:numId w:val="2"/>
        </w:numPr>
        <w:rPr>
          <w:rFonts w:ascii="Arial" w:hAnsi="Arial" w:cs="Arial"/>
          <w:sz w:val="24"/>
          <w:szCs w:val="24"/>
        </w:rPr>
      </w:pPr>
      <w:r>
        <w:rPr>
          <w:rFonts w:ascii="Arial" w:hAnsi="Arial" w:cs="Arial"/>
          <w:sz w:val="24"/>
          <w:szCs w:val="24"/>
        </w:rPr>
        <w:t>Records Management Policy</w:t>
      </w:r>
    </w:p>
    <w:p w14:paraId="78252AFB">
      <w:pPr>
        <w:pStyle w:val="16"/>
        <w:numPr>
          <w:ilvl w:val="0"/>
          <w:numId w:val="2"/>
        </w:numPr>
        <w:rPr>
          <w:rFonts w:ascii="Arial" w:hAnsi="Arial" w:cs="Arial"/>
          <w:sz w:val="24"/>
          <w:szCs w:val="24"/>
        </w:rPr>
      </w:pPr>
      <w:r>
        <w:rPr>
          <w:rFonts w:ascii="Arial" w:hAnsi="Arial" w:cs="Arial"/>
          <w:sz w:val="24"/>
          <w:szCs w:val="24"/>
        </w:rPr>
        <w:t>Data Breach Procedure</w:t>
      </w:r>
    </w:p>
    <w:p w14:paraId="7C4559A4">
      <w:pPr>
        <w:pStyle w:val="3"/>
        <w:rPr>
          <w:rFonts w:ascii="Arial" w:hAnsi="Arial" w:cs="Arial" w:eastAsiaTheme="minorHAnsi"/>
          <w:color w:val="auto"/>
          <w:sz w:val="24"/>
          <w:szCs w:val="24"/>
        </w:rPr>
      </w:pPr>
    </w:p>
    <w:p w14:paraId="0B8CDAFF">
      <w:pPr>
        <w:pStyle w:val="3"/>
        <w:rPr>
          <w:rFonts w:ascii="Arial" w:hAnsi="Arial" w:cs="Arial" w:eastAsiaTheme="minorHAnsi"/>
          <w:color w:val="auto"/>
          <w:sz w:val="24"/>
          <w:szCs w:val="24"/>
        </w:rPr>
      </w:pPr>
      <w:r>
        <w:rPr>
          <w:rFonts w:ascii="Arial" w:hAnsi="Arial" w:cs="Arial" w:eastAsiaTheme="minorHAnsi"/>
          <w:color w:val="auto"/>
          <w:sz w:val="24"/>
          <w:szCs w:val="24"/>
        </w:rPr>
        <w:t>If you are unsure how to comply you must seek advice and guidance from your Data Protection Lead.</w:t>
      </w:r>
    </w:p>
    <w:p w14:paraId="08603CB4">
      <w:pPr>
        <w:pStyle w:val="2"/>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What if I need to do something against this policy?</w:t>
      </w:r>
    </w:p>
    <w:p w14:paraId="0A6EFCD9">
      <w:pPr>
        <w:spacing w:after="0" w:line="240" w:lineRule="auto"/>
        <w:rPr>
          <w:sz w:val="24"/>
          <w:szCs w:val="24"/>
        </w:rPr>
      </w:pPr>
    </w:p>
    <w:p w14:paraId="537FB026">
      <w:pPr>
        <w:pStyle w:val="15"/>
        <w:ind w:left="0"/>
        <w:rPr>
          <w:rFonts w:ascii="Arial" w:hAnsi="Arial" w:cs="Arial"/>
          <w:sz w:val="24"/>
          <w:szCs w:val="24"/>
        </w:rPr>
      </w:pPr>
      <w:r>
        <w:rPr>
          <w:rFonts w:ascii="Arial" w:hAnsi="Arial" w:cs="Arial"/>
          <w:sz w:val="24"/>
          <w:szCs w:val="24"/>
        </w:rPr>
        <w:t>If you believe you have a valid business reason for an exception to these policy points, having read and understood the reasons why they are in place, please raise a formal request by contacting the school office.</w:t>
      </w:r>
    </w:p>
    <w:p w14:paraId="58A4CB67">
      <w:pPr>
        <w:pStyle w:val="2"/>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Reference</w:t>
      </w:r>
    </w:p>
    <w:p w14:paraId="196AFD18">
      <w:pPr>
        <w:pStyle w:val="15"/>
        <w:numPr>
          <w:ilvl w:val="0"/>
          <w:numId w:val="3"/>
        </w:numPr>
        <w:rPr>
          <w:rFonts w:ascii="Arial" w:hAnsi="Arial" w:cs="Arial"/>
          <w:sz w:val="24"/>
          <w:szCs w:val="24"/>
        </w:rPr>
      </w:pPr>
      <w:r>
        <w:rPr>
          <w:rFonts w:ascii="Arial" w:hAnsi="Arial" w:cs="Arial"/>
          <w:sz w:val="24"/>
          <w:szCs w:val="24"/>
        </w:rPr>
        <w:t>Data Protection Act 2018 / UK GDPR</w:t>
      </w:r>
    </w:p>
    <w:p w14:paraId="0F343ACC">
      <w:pPr>
        <w:pStyle w:val="15"/>
        <w:numPr>
          <w:ilvl w:val="0"/>
          <w:numId w:val="3"/>
        </w:numPr>
        <w:rPr>
          <w:rFonts w:ascii="Arial" w:hAnsi="Arial" w:cs="Arial"/>
          <w:sz w:val="24"/>
          <w:szCs w:val="24"/>
        </w:rPr>
      </w:pPr>
      <w:r>
        <w:rPr>
          <w:rFonts w:ascii="Arial" w:hAnsi="Arial" w:cs="Arial"/>
          <w:sz w:val="24"/>
          <w:szCs w:val="24"/>
        </w:rPr>
        <w:t>Article 8, The Human Rights Act 1998</w:t>
      </w:r>
    </w:p>
    <w:p w14:paraId="4400B442">
      <w:pPr>
        <w:pStyle w:val="2"/>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Breach Statement</w:t>
      </w:r>
    </w:p>
    <w:p w14:paraId="25F71C51">
      <w:pPr>
        <w:spacing w:after="0" w:line="240" w:lineRule="auto"/>
        <w:rPr>
          <w:sz w:val="24"/>
          <w:szCs w:val="24"/>
        </w:rPr>
      </w:pPr>
    </w:p>
    <w:p w14:paraId="72A3CC7F">
      <w:pPr>
        <w:rPr>
          <w:rFonts w:ascii="Arial" w:hAnsi="Arial" w:cs="Arial"/>
          <w:sz w:val="24"/>
          <w:szCs w:val="24"/>
        </w:rPr>
      </w:pPr>
      <w:r>
        <w:rPr>
          <w:rFonts w:ascii="Arial" w:hAnsi="Arial" w:cs="Arial"/>
          <w:sz w:val="24"/>
          <w:szCs w:val="24"/>
        </w:rPr>
        <w:t>Breaches of Information Policies will be investigated and may result in disciplinary action. Serious breaches of Policy may be considered gross misconduct and result in dismissal without notice, or legal action being taken against you.</w:t>
      </w:r>
    </w:p>
    <w:p w14:paraId="2D133E3B">
      <w:pPr>
        <w:pStyle w:val="2"/>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Document Control</w:t>
      </w:r>
    </w:p>
    <w:p w14:paraId="564727D6">
      <w:pPr>
        <w:spacing w:line="240" w:lineRule="auto"/>
        <w:rPr>
          <w:rFonts w:ascii="Arial" w:hAnsi="Arial" w:cs="Arial"/>
          <w:sz w:val="24"/>
          <w:szCs w:val="24"/>
        </w:rPr>
      </w:pPr>
      <w:r>
        <w:rPr>
          <w:rFonts w:ascii="Arial" w:hAnsi="Arial" w:cs="Arial"/>
          <w:sz w:val="24"/>
          <w:szCs w:val="24"/>
        </w:rPr>
        <w:t xml:space="preserve">Version: </w:t>
      </w:r>
      <w:r>
        <w:rPr>
          <w:sz w:val="24"/>
          <w:szCs w:val="24"/>
        </w:rPr>
        <w:tab/>
      </w:r>
      <w:r>
        <w:rPr>
          <w:sz w:val="24"/>
          <w:szCs w:val="24"/>
        </w:rPr>
        <w:tab/>
      </w:r>
      <w:r>
        <w:rPr>
          <w:rFonts w:ascii="Arial" w:hAnsi="Arial" w:cs="Arial"/>
          <w:sz w:val="24"/>
          <w:szCs w:val="24"/>
        </w:rPr>
        <w:t>2024</w:t>
      </w:r>
    </w:p>
    <w:p w14:paraId="02D024BF">
      <w:pPr>
        <w:spacing w:line="240" w:lineRule="auto"/>
        <w:rPr>
          <w:rFonts w:hint="default" w:ascii="Arial" w:hAnsi="Arial" w:cs="Arial"/>
          <w:sz w:val="24"/>
          <w:szCs w:val="24"/>
          <w:lang w:val="en-GB"/>
        </w:rPr>
      </w:pPr>
      <w:r>
        <w:rPr>
          <w:rFonts w:ascii="Arial" w:hAnsi="Arial" w:cs="Arial"/>
          <w:sz w:val="24"/>
          <w:szCs w:val="24"/>
        </w:rPr>
        <w:t xml:space="preserve">Date approved: </w:t>
      </w:r>
      <w:r>
        <w:rPr>
          <w:rFonts w:ascii="Arial" w:hAnsi="Arial" w:cs="Arial"/>
          <w:sz w:val="24"/>
          <w:szCs w:val="24"/>
        </w:rPr>
        <w:tab/>
      </w:r>
      <w:r>
        <w:rPr>
          <w:rFonts w:hint="default" w:ascii="Arial" w:hAnsi="Arial" w:cs="Arial"/>
          <w:sz w:val="24"/>
          <w:szCs w:val="24"/>
          <w:lang w:val="en-GB"/>
        </w:rPr>
        <w:t>11/07/25</w:t>
      </w:r>
    </w:p>
    <w:p w14:paraId="061E6B5D">
      <w:pPr>
        <w:spacing w:line="240" w:lineRule="auto"/>
        <w:rPr>
          <w:rFonts w:hint="default" w:ascii="Arial" w:hAnsi="Arial" w:cs="Arial"/>
          <w:sz w:val="24"/>
          <w:szCs w:val="24"/>
          <w:lang w:val="en-GB"/>
        </w:rPr>
      </w:pPr>
      <w:r>
        <w:rPr>
          <w:rFonts w:ascii="Arial" w:hAnsi="Arial" w:cs="Arial"/>
          <w:sz w:val="24"/>
          <w:szCs w:val="24"/>
        </w:rPr>
        <w:t>Approved by:</w:t>
      </w:r>
      <w:r>
        <w:rPr>
          <w:rFonts w:ascii="Arial" w:hAnsi="Arial" w:cs="Arial"/>
          <w:sz w:val="24"/>
          <w:szCs w:val="24"/>
        </w:rPr>
        <w:tab/>
      </w:r>
      <w:r>
        <w:rPr>
          <w:rFonts w:hint="default" w:ascii="Arial" w:hAnsi="Arial" w:cs="Arial"/>
          <w:sz w:val="24"/>
          <w:szCs w:val="24"/>
          <w:lang w:val="en-GB"/>
        </w:rPr>
        <w:tab/>
        <w:t>FGB</w:t>
      </w:r>
    </w:p>
    <w:p w14:paraId="58097633">
      <w:pPr>
        <w:spacing w:line="240" w:lineRule="auto"/>
        <w:rPr>
          <w:rFonts w:hint="default" w:ascii="Arial" w:hAnsi="Arial" w:cs="Arial"/>
          <w:sz w:val="24"/>
          <w:szCs w:val="24"/>
          <w:lang w:val="en-GB"/>
        </w:rPr>
      </w:pPr>
      <w:r>
        <w:rPr>
          <w:rFonts w:ascii="Arial" w:hAnsi="Arial" w:cs="Arial"/>
          <w:sz w:val="24"/>
          <w:szCs w:val="24"/>
        </w:rPr>
        <w:t xml:space="preserve">Next review: </w:t>
      </w:r>
      <w:r>
        <w:rPr>
          <w:rFonts w:ascii="Arial" w:hAnsi="Arial" w:cs="Arial"/>
          <w:sz w:val="24"/>
          <w:szCs w:val="24"/>
        </w:rPr>
        <w:tab/>
      </w:r>
      <w:r>
        <w:rPr>
          <w:rFonts w:ascii="Arial" w:hAnsi="Arial" w:cs="Arial"/>
          <w:sz w:val="24"/>
          <w:szCs w:val="24"/>
        </w:rPr>
        <w:tab/>
      </w:r>
      <w:r>
        <w:rPr>
          <w:rFonts w:hint="default" w:ascii="Arial" w:hAnsi="Arial" w:cs="Arial"/>
          <w:sz w:val="24"/>
          <w:szCs w:val="24"/>
          <w:lang w:val="en-GB"/>
        </w:rPr>
        <w:t>11/07/25 - Review annually</w:t>
      </w:r>
      <w:bookmarkStart w:id="0" w:name="_GoBack"/>
      <w:bookmarkEnd w:id="0"/>
    </w:p>
    <w:p w14:paraId="797B4A6F">
      <w:pPr>
        <w:rPr>
          <w:rFonts w:ascii="Arial" w:hAnsi="Arial" w:cs="Arial"/>
        </w:rPr>
      </w:pPr>
    </w:p>
    <w:sectPr>
      <w:footerReference r:id="rId5" w:type="default"/>
      <w:pgSz w:w="11906" w:h="16838"/>
      <w:pgMar w:top="1134" w:right="851" w:bottom="1077" w:left="1134" w:header="709" w:footer="0"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alibri Light">
    <w:panose1 w:val="020F03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18FAB">
    <w:pPr>
      <w:pStyle w:val="10"/>
    </w:pPr>
    <w:r>
      <w:t>C6-2024</w:t>
    </w:r>
    <w:r>
      <w:tab/>
    </w:r>
    <w:sdt>
      <w:sdtPr>
        <w:id w:val="1842040485"/>
        <w:docPartObj>
          <w:docPartGallery w:val="AutoText"/>
        </w:docPartObj>
      </w:sdtPr>
      <w:sdtContent>
        <w:r>
          <w:tab/>
        </w:r>
        <w:r>
          <w:fldChar w:fldCharType="begin"/>
        </w:r>
        <w:r>
          <w:instrText xml:space="preserve"> PAGE   \* MERGEFORMAT </w:instrText>
        </w:r>
        <w:r>
          <w:fldChar w:fldCharType="separate"/>
        </w:r>
        <w:r>
          <w:t>1</w:t>
        </w:r>
        <w:r>
          <w:fldChar w:fldCharType="end"/>
        </w:r>
        <w:r>
          <w:t xml:space="preserve">                                              © Essex County Council</w:t>
        </w:r>
      </w:sdtContent>
    </w:sdt>
  </w:p>
  <w:p w14:paraId="7751CCF1">
    <w:pPr>
      <w:pStyle w:val="10"/>
      <w:tabs>
        <w:tab w:val="center" w:pos="7780"/>
        <w:tab w:val="left" w:pos="11865"/>
      </w:tabs>
    </w:pPr>
    <w:r>
      <w:tab/>
    </w:r>
    <w:r>
      <w:tab/>
    </w:r>
  </w:p>
  <w:p w14:paraId="18304405">
    <w:pPr>
      <w:pStyle w:val="1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722018"/>
    <w:multiLevelType w:val="multilevel"/>
    <w:tmpl w:val="1772201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EC1619C"/>
    <w:multiLevelType w:val="multilevel"/>
    <w:tmpl w:val="2EC1619C"/>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
    <w:nsid w:val="3F072413"/>
    <w:multiLevelType w:val="multilevel"/>
    <w:tmpl w:val="3F07241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1F4"/>
    <w:rsid w:val="00003041"/>
    <w:rsid w:val="00010CB3"/>
    <w:rsid w:val="0001633D"/>
    <w:rsid w:val="000166B5"/>
    <w:rsid w:val="0004469B"/>
    <w:rsid w:val="000514AC"/>
    <w:rsid w:val="00053D43"/>
    <w:rsid w:val="0006288B"/>
    <w:rsid w:val="00066596"/>
    <w:rsid w:val="00066C41"/>
    <w:rsid w:val="0006703C"/>
    <w:rsid w:val="00073DCE"/>
    <w:rsid w:val="00077A99"/>
    <w:rsid w:val="00077C28"/>
    <w:rsid w:val="000C6DF1"/>
    <w:rsid w:val="00117D30"/>
    <w:rsid w:val="00122A72"/>
    <w:rsid w:val="00155686"/>
    <w:rsid w:val="001A17C0"/>
    <w:rsid w:val="001F191E"/>
    <w:rsid w:val="002130A8"/>
    <w:rsid w:val="002171F4"/>
    <w:rsid w:val="00217542"/>
    <w:rsid w:val="002233DC"/>
    <w:rsid w:val="00223DFC"/>
    <w:rsid w:val="0022778A"/>
    <w:rsid w:val="002310F0"/>
    <w:rsid w:val="002906B2"/>
    <w:rsid w:val="002A145E"/>
    <w:rsid w:val="002A58DA"/>
    <w:rsid w:val="002B71C5"/>
    <w:rsid w:val="002C76D2"/>
    <w:rsid w:val="002F2732"/>
    <w:rsid w:val="0034293A"/>
    <w:rsid w:val="00363FD9"/>
    <w:rsid w:val="003772E1"/>
    <w:rsid w:val="004023F8"/>
    <w:rsid w:val="00404E1A"/>
    <w:rsid w:val="00410D56"/>
    <w:rsid w:val="004143A0"/>
    <w:rsid w:val="00452C04"/>
    <w:rsid w:val="00481DB1"/>
    <w:rsid w:val="00483372"/>
    <w:rsid w:val="004B121E"/>
    <w:rsid w:val="004B4277"/>
    <w:rsid w:val="004C2158"/>
    <w:rsid w:val="004C2B1D"/>
    <w:rsid w:val="004C4173"/>
    <w:rsid w:val="004F0052"/>
    <w:rsid w:val="004F3FC4"/>
    <w:rsid w:val="005118B7"/>
    <w:rsid w:val="00512E07"/>
    <w:rsid w:val="005262D4"/>
    <w:rsid w:val="00542360"/>
    <w:rsid w:val="00552A9E"/>
    <w:rsid w:val="005778B2"/>
    <w:rsid w:val="00596C71"/>
    <w:rsid w:val="005F2910"/>
    <w:rsid w:val="00617689"/>
    <w:rsid w:val="00625DD3"/>
    <w:rsid w:val="00630ED3"/>
    <w:rsid w:val="00632AF6"/>
    <w:rsid w:val="006353EF"/>
    <w:rsid w:val="00671D52"/>
    <w:rsid w:val="00675507"/>
    <w:rsid w:val="006765D3"/>
    <w:rsid w:val="00693BF9"/>
    <w:rsid w:val="006E660E"/>
    <w:rsid w:val="00707A42"/>
    <w:rsid w:val="007138B3"/>
    <w:rsid w:val="0072058E"/>
    <w:rsid w:val="007455C8"/>
    <w:rsid w:val="00761938"/>
    <w:rsid w:val="00773397"/>
    <w:rsid w:val="00786F50"/>
    <w:rsid w:val="00794051"/>
    <w:rsid w:val="007D6613"/>
    <w:rsid w:val="00826FC8"/>
    <w:rsid w:val="00836750"/>
    <w:rsid w:val="00857471"/>
    <w:rsid w:val="008701A7"/>
    <w:rsid w:val="008B15B1"/>
    <w:rsid w:val="008B2216"/>
    <w:rsid w:val="008E1D5F"/>
    <w:rsid w:val="008F270C"/>
    <w:rsid w:val="009125BF"/>
    <w:rsid w:val="009337DF"/>
    <w:rsid w:val="0094248B"/>
    <w:rsid w:val="00944C1A"/>
    <w:rsid w:val="00954294"/>
    <w:rsid w:val="009838CE"/>
    <w:rsid w:val="00984E64"/>
    <w:rsid w:val="00993D53"/>
    <w:rsid w:val="009967F8"/>
    <w:rsid w:val="0099773D"/>
    <w:rsid w:val="009B67D4"/>
    <w:rsid w:val="009C4975"/>
    <w:rsid w:val="009E3704"/>
    <w:rsid w:val="009E719F"/>
    <w:rsid w:val="009F510F"/>
    <w:rsid w:val="00A338CE"/>
    <w:rsid w:val="00A42521"/>
    <w:rsid w:val="00A6563C"/>
    <w:rsid w:val="00A7016D"/>
    <w:rsid w:val="00A95D16"/>
    <w:rsid w:val="00AA16B8"/>
    <w:rsid w:val="00AB4596"/>
    <w:rsid w:val="00AD18BC"/>
    <w:rsid w:val="00AD194D"/>
    <w:rsid w:val="00AD2EA4"/>
    <w:rsid w:val="00B01AC8"/>
    <w:rsid w:val="00B02DCB"/>
    <w:rsid w:val="00B04160"/>
    <w:rsid w:val="00B1147C"/>
    <w:rsid w:val="00B15AD8"/>
    <w:rsid w:val="00B30030"/>
    <w:rsid w:val="00B3670B"/>
    <w:rsid w:val="00B446F6"/>
    <w:rsid w:val="00B50C62"/>
    <w:rsid w:val="00B61746"/>
    <w:rsid w:val="00B65151"/>
    <w:rsid w:val="00B777D6"/>
    <w:rsid w:val="00B90DC8"/>
    <w:rsid w:val="00BD4C2B"/>
    <w:rsid w:val="00BF1F1D"/>
    <w:rsid w:val="00C224D9"/>
    <w:rsid w:val="00C26418"/>
    <w:rsid w:val="00C3651C"/>
    <w:rsid w:val="00C44480"/>
    <w:rsid w:val="00C55174"/>
    <w:rsid w:val="00C67AF2"/>
    <w:rsid w:val="00CA07D2"/>
    <w:rsid w:val="00CB048F"/>
    <w:rsid w:val="00CF5A08"/>
    <w:rsid w:val="00CF623A"/>
    <w:rsid w:val="00D1664A"/>
    <w:rsid w:val="00D240F7"/>
    <w:rsid w:val="00D37A80"/>
    <w:rsid w:val="00D440E1"/>
    <w:rsid w:val="00D57E31"/>
    <w:rsid w:val="00D7178C"/>
    <w:rsid w:val="00D72574"/>
    <w:rsid w:val="00D73AC0"/>
    <w:rsid w:val="00D7428B"/>
    <w:rsid w:val="00D81324"/>
    <w:rsid w:val="00D91034"/>
    <w:rsid w:val="00DA00CA"/>
    <w:rsid w:val="00DA2CE9"/>
    <w:rsid w:val="00DA449F"/>
    <w:rsid w:val="00DC66E2"/>
    <w:rsid w:val="00DE03C5"/>
    <w:rsid w:val="00DE4B14"/>
    <w:rsid w:val="00DF0EDF"/>
    <w:rsid w:val="00E0508F"/>
    <w:rsid w:val="00E21E84"/>
    <w:rsid w:val="00E33C40"/>
    <w:rsid w:val="00E4223D"/>
    <w:rsid w:val="00E44182"/>
    <w:rsid w:val="00E510F0"/>
    <w:rsid w:val="00ED04F5"/>
    <w:rsid w:val="00EF0BC6"/>
    <w:rsid w:val="00EF16DB"/>
    <w:rsid w:val="00EF2C20"/>
    <w:rsid w:val="00F55638"/>
    <w:rsid w:val="00F6058F"/>
    <w:rsid w:val="00F701F4"/>
    <w:rsid w:val="00FA502B"/>
    <w:rsid w:val="00FC6952"/>
    <w:rsid w:val="00FD2097"/>
    <w:rsid w:val="00FF1707"/>
    <w:rsid w:val="09AAD153"/>
    <w:rsid w:val="0D567441"/>
    <w:rsid w:val="0E099C41"/>
    <w:rsid w:val="10E11F9B"/>
    <w:rsid w:val="12D9E058"/>
    <w:rsid w:val="16514AD2"/>
    <w:rsid w:val="19EC4221"/>
    <w:rsid w:val="286C3714"/>
    <w:rsid w:val="2B57294F"/>
    <w:rsid w:val="2E9B507D"/>
    <w:rsid w:val="2FCB768B"/>
    <w:rsid w:val="309ABAE0"/>
    <w:rsid w:val="318B3CA1"/>
    <w:rsid w:val="4303D7BA"/>
    <w:rsid w:val="4E6714E0"/>
    <w:rsid w:val="5271EE16"/>
    <w:rsid w:val="53E2A6E2"/>
    <w:rsid w:val="5B149E74"/>
    <w:rsid w:val="68242E61"/>
    <w:rsid w:val="6A8EE38F"/>
    <w:rsid w:val="6B961ABB"/>
    <w:rsid w:val="6DF6EDF9"/>
    <w:rsid w:val="745343C5"/>
    <w:rsid w:val="7C4C8D83"/>
    <w:rsid w:val="7FA54B1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9"/>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22"/>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alloon Text"/>
    <w:basedOn w:val="1"/>
    <w:link w:val="14"/>
    <w:semiHidden/>
    <w:unhideWhenUsed/>
    <w:uiPriority w:val="99"/>
    <w:pPr>
      <w:spacing w:after="0" w:line="240" w:lineRule="auto"/>
    </w:pPr>
    <w:rPr>
      <w:rFonts w:ascii="Tahoma" w:hAnsi="Tahoma" w:cs="Tahoma"/>
      <w:sz w:val="16"/>
      <w:szCs w:val="16"/>
    </w:rPr>
  </w:style>
  <w:style w:type="character" w:styleId="7">
    <w:name w:val="annotation reference"/>
    <w:basedOn w:val="4"/>
    <w:semiHidden/>
    <w:unhideWhenUsed/>
    <w:qFormat/>
    <w:uiPriority w:val="99"/>
    <w:rPr>
      <w:sz w:val="16"/>
      <w:szCs w:val="16"/>
    </w:rPr>
  </w:style>
  <w:style w:type="paragraph" w:styleId="8">
    <w:name w:val="annotation text"/>
    <w:basedOn w:val="1"/>
    <w:link w:val="20"/>
    <w:semiHidden/>
    <w:unhideWhenUsed/>
    <w:qFormat/>
    <w:uiPriority w:val="99"/>
    <w:pPr>
      <w:spacing w:line="240" w:lineRule="auto"/>
    </w:pPr>
    <w:rPr>
      <w:sz w:val="20"/>
      <w:szCs w:val="20"/>
    </w:rPr>
  </w:style>
  <w:style w:type="paragraph" w:styleId="9">
    <w:name w:val="annotation subject"/>
    <w:basedOn w:val="8"/>
    <w:next w:val="8"/>
    <w:link w:val="21"/>
    <w:semiHidden/>
    <w:unhideWhenUsed/>
    <w:qFormat/>
    <w:uiPriority w:val="99"/>
    <w:rPr>
      <w:b/>
      <w:bCs/>
    </w:rPr>
  </w:style>
  <w:style w:type="paragraph" w:styleId="10">
    <w:name w:val="footer"/>
    <w:basedOn w:val="1"/>
    <w:link w:val="18"/>
    <w:unhideWhenUsed/>
    <w:qFormat/>
    <w:uiPriority w:val="99"/>
    <w:pPr>
      <w:tabs>
        <w:tab w:val="center" w:pos="4513"/>
        <w:tab w:val="right" w:pos="9026"/>
      </w:tabs>
      <w:spacing w:after="0" w:line="240" w:lineRule="auto"/>
    </w:pPr>
  </w:style>
  <w:style w:type="paragraph" w:styleId="11">
    <w:name w:val="header"/>
    <w:basedOn w:val="1"/>
    <w:link w:val="17"/>
    <w:unhideWhenUsed/>
    <w:qFormat/>
    <w:uiPriority w:val="99"/>
    <w:pPr>
      <w:tabs>
        <w:tab w:val="center" w:pos="4513"/>
        <w:tab w:val="right" w:pos="9026"/>
      </w:tabs>
      <w:spacing w:after="0" w:line="240" w:lineRule="auto"/>
    </w:pPr>
  </w:style>
  <w:style w:type="character" w:styleId="12">
    <w:name w:val="Hyperlink"/>
    <w:basedOn w:val="4"/>
    <w:unhideWhenUsed/>
    <w:qFormat/>
    <w:uiPriority w:val="99"/>
    <w:rPr>
      <w:color w:val="0000FF" w:themeColor="hyperlink"/>
      <w:u w:val="single"/>
      <w14:textFill>
        <w14:solidFill>
          <w14:schemeClr w14:val="hlink"/>
        </w14:solidFill>
      </w14:textFill>
    </w:rPr>
  </w:style>
  <w:style w:type="table" w:styleId="13">
    <w:name w:val="Table Grid"/>
    <w:basedOn w:val="5"/>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Balloon Text Char"/>
    <w:basedOn w:val="4"/>
    <w:link w:val="6"/>
    <w:semiHidden/>
    <w:uiPriority w:val="99"/>
    <w:rPr>
      <w:rFonts w:ascii="Tahoma" w:hAnsi="Tahoma" w:cs="Tahoma"/>
      <w:sz w:val="16"/>
      <w:szCs w:val="16"/>
    </w:rPr>
  </w:style>
  <w:style w:type="paragraph" w:styleId="15">
    <w:name w:val="List Paragraph"/>
    <w:basedOn w:val="1"/>
    <w:qFormat/>
    <w:uiPriority w:val="34"/>
    <w:pPr>
      <w:ind w:left="720"/>
      <w:contextualSpacing/>
    </w:pPr>
  </w:style>
  <w:style w:type="paragraph" w:styleId="16">
    <w:name w:val="No Spacing"/>
    <w:qFormat/>
    <w:uiPriority w:val="1"/>
    <w:pPr>
      <w:spacing w:after="0" w:line="240" w:lineRule="auto"/>
    </w:pPr>
    <w:rPr>
      <w:rFonts w:asciiTheme="minorHAnsi" w:hAnsiTheme="minorHAnsi" w:eastAsiaTheme="minorHAnsi" w:cstheme="minorBidi"/>
      <w:sz w:val="22"/>
      <w:szCs w:val="22"/>
      <w:lang w:val="en-GB" w:eastAsia="en-US" w:bidi="ar-SA"/>
    </w:rPr>
  </w:style>
  <w:style w:type="character" w:customStyle="1" w:styleId="17">
    <w:name w:val="Header Char"/>
    <w:basedOn w:val="4"/>
    <w:link w:val="11"/>
    <w:qFormat/>
    <w:uiPriority w:val="99"/>
  </w:style>
  <w:style w:type="character" w:customStyle="1" w:styleId="18">
    <w:name w:val="Footer Char"/>
    <w:basedOn w:val="4"/>
    <w:link w:val="10"/>
    <w:qFormat/>
    <w:uiPriority w:val="99"/>
  </w:style>
  <w:style w:type="character" w:customStyle="1" w:styleId="19">
    <w:name w:val="Heading 1 Char"/>
    <w:basedOn w:val="4"/>
    <w:link w:val="2"/>
    <w:qFormat/>
    <w:uiPriority w:val="9"/>
    <w:rPr>
      <w:rFonts w:asciiTheme="majorHAnsi" w:hAnsiTheme="majorHAnsi" w:eastAsiaTheme="majorEastAsia" w:cstheme="majorBidi"/>
      <w:color w:val="376092" w:themeColor="accent1" w:themeShade="BF"/>
      <w:sz w:val="32"/>
      <w:szCs w:val="32"/>
    </w:rPr>
  </w:style>
  <w:style w:type="character" w:customStyle="1" w:styleId="20">
    <w:name w:val="Comment Text Char"/>
    <w:basedOn w:val="4"/>
    <w:link w:val="8"/>
    <w:semiHidden/>
    <w:qFormat/>
    <w:uiPriority w:val="99"/>
    <w:rPr>
      <w:sz w:val="20"/>
      <w:szCs w:val="20"/>
    </w:rPr>
  </w:style>
  <w:style w:type="character" w:customStyle="1" w:styleId="21">
    <w:name w:val="Comment Subject Char"/>
    <w:basedOn w:val="20"/>
    <w:link w:val="9"/>
    <w:semiHidden/>
    <w:qFormat/>
    <w:uiPriority w:val="99"/>
    <w:rPr>
      <w:b/>
      <w:bCs/>
      <w:sz w:val="20"/>
      <w:szCs w:val="20"/>
    </w:rPr>
  </w:style>
  <w:style w:type="character" w:customStyle="1" w:styleId="22">
    <w:name w:val="Heading 2 Char"/>
    <w:basedOn w:val="4"/>
    <w:link w:val="3"/>
    <w:qFormat/>
    <w:uiPriority w:val="9"/>
    <w:rPr>
      <w:rFonts w:asciiTheme="majorHAnsi" w:hAnsiTheme="majorHAnsi" w:eastAsiaTheme="majorEastAsia" w:cstheme="majorBidi"/>
      <w:color w:val="376092" w:themeColor="accent1" w:themeShade="BF"/>
      <w:sz w:val="26"/>
      <w:szCs w:val="26"/>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7275096BE6E44408CE6078F0132A776" ma:contentTypeVersion="4" ma:contentTypeDescription="Create a new document." ma:contentTypeScope="" ma:versionID="c3d97759417e509fd8b5b016824df62f">
  <xsd:schema xmlns:xsd="http://www.w3.org/2001/XMLSchema" xmlns:xs="http://www.w3.org/2001/XMLSchema" xmlns:p="http://schemas.microsoft.com/office/2006/metadata/properties" xmlns:ns2="d78cc8c2-4ed3-482e-9b2a-b9f87ab3f3df" targetNamespace="http://schemas.microsoft.com/office/2006/metadata/properties" ma:root="true" ma:fieldsID="15ac1768719477efe49f923ac7c43d40" ns2:_="">
    <xsd:import namespace="d78cc8c2-4ed3-482e-9b2a-b9f87ab3f3d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cc8c2-4ed3-482e-9b2a-b9f87ab3f3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576E6C-4CBC-4853-8C19-7F82E6EAF77D}">
  <ds:schemaRefs/>
</ds:datastoreItem>
</file>

<file path=customXml/itemProps3.xml><?xml version="1.0" encoding="utf-8"?>
<ds:datastoreItem xmlns:ds="http://schemas.openxmlformats.org/officeDocument/2006/customXml" ds:itemID="{B88158A6-D1C5-4D5B-AD98-63AC62569A8D}">
  <ds:schemaRefs/>
</ds:datastoreItem>
</file>

<file path=customXml/itemProps4.xml><?xml version="1.0" encoding="utf-8"?>
<ds:datastoreItem xmlns:ds="http://schemas.openxmlformats.org/officeDocument/2006/customXml" ds:itemID="{566BA10A-1854-48C3-B845-B9FAEFBBD215}">
  <ds:schemaRefs/>
</ds:datastoreItem>
</file>

<file path=docProps/app.xml><?xml version="1.0" encoding="utf-8"?>
<Properties xmlns="http://schemas.openxmlformats.org/officeDocument/2006/extended-properties" xmlns:vt="http://schemas.openxmlformats.org/officeDocument/2006/docPropsVTypes">
  <Template>Normal</Template>
  <Company>Essex County Council</Company>
  <Pages>2</Pages>
  <Words>533</Words>
  <Characters>3043</Characters>
  <Lines>25</Lines>
  <Paragraphs>7</Paragraphs>
  <TotalTime>0</TotalTime>
  <ScaleCrop>false</ScaleCrop>
  <LinksUpToDate>false</LinksUpToDate>
  <CharactersWithSpaces>3569</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2021-03-31T14:06:00Z</dcterms:created>
  <dc:creator>david.humphreys</dc:creator>
  <cp:lastModifiedBy>SueFuller</cp:lastModifiedBy>
  <dcterms:modified xsi:type="dcterms:W3CDTF">2025-07-09T13:07:32Z</dcterms:modified>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0x01010077275096BE6E44408CE6078F0132A776</vt:lpwstr>
  </property>
  <property fmtid="{D5CDD505-2E9C-101B-9397-08002B2CF9AE}" pid="3" name="MSIP_Label_39d8be9e-c8d9-4b9c-bd40-2c27cc7ea2e6_Enabled">
    <vt:lpwstr>true</vt:lpwstr>
  </property>
  <property fmtid="{D5CDD505-2E9C-101B-9397-08002B2CF9AE}" pid="4" name="MSIP_Label_39d8be9e-c8d9-4b9c-bd40-2c27cc7ea2e6_SetDate">
    <vt:lpwstr>2020-10-16T11:24:19Z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e26215af-0b79-4db9-ac09-000037aef51b</vt:lpwstr>
  </property>
  <property fmtid="{D5CDD505-2E9C-101B-9397-08002B2CF9AE}" pid="9" name="MSIP_Label_39d8be9e-c8d9-4b9c-bd40-2c27cc7ea2e6_ContentBits">
    <vt:lpwstr>0</vt:lpwstr>
  </property>
  <property fmtid="{D5CDD505-2E9C-101B-9397-08002B2CF9AE}" pid="10" name="Order">
    <vt:r8>6688300</vt:r8>
  </property>
  <property fmtid="{D5CDD505-2E9C-101B-9397-08002B2CF9AE}" pid="11" name="xd_Signature">
    <vt:bool>false</vt:bool>
  </property>
  <property fmtid="{D5CDD505-2E9C-101B-9397-08002B2CF9AE}" pid="12" name="xd_ProgID">
    <vt:lpwstr/>
  </property>
  <property fmtid="{D5CDD505-2E9C-101B-9397-08002B2CF9AE}" pid="13" name="TriggerFlowInfo">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MediaServiceImageTags">
    <vt:lpwstr/>
  </property>
  <property fmtid="{D5CDD505-2E9C-101B-9397-08002B2CF9AE}" pid="18" name="KSOProductBuildVer">
    <vt:lpwstr>2057-12.2.0.21546</vt:lpwstr>
  </property>
  <property fmtid="{D5CDD505-2E9C-101B-9397-08002B2CF9AE}" pid="19" name="ICV">
    <vt:lpwstr>3AF3FFD13F9B4756A92DC296C4A09860_13</vt:lpwstr>
  </property>
</Properties>
</file>